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0D" w:rsidRPr="00B51B4A" w:rsidRDefault="003E1D0D" w:rsidP="003E1D0D">
      <w:pPr>
        <w:rPr>
          <w:sz w:val="24"/>
          <w:szCs w:val="24"/>
        </w:rPr>
      </w:pPr>
      <w:r w:rsidRPr="00B51B4A">
        <w:rPr>
          <w:i/>
        </w:rPr>
        <w:t>Falk Pingel:</w:t>
      </w:r>
      <w:r w:rsidRPr="00B51B4A">
        <w:rPr>
          <w:i/>
        </w:rPr>
        <w:br/>
      </w:r>
      <w:r w:rsidRPr="00B51B4A">
        <w:rPr>
          <w:b/>
          <w:sz w:val="24"/>
          <w:szCs w:val="24"/>
        </w:rPr>
        <w:t xml:space="preserve">Können wir uns oder lassen wir uns beherrschen? </w:t>
      </w:r>
      <w:r w:rsidRPr="00B51B4A">
        <w:rPr>
          <w:b/>
          <w:sz w:val="24"/>
          <w:szCs w:val="24"/>
        </w:rPr>
        <w:br/>
      </w:r>
      <w:proofErr w:type="spellStart"/>
      <w:r w:rsidRPr="00B51B4A">
        <w:rPr>
          <w:sz w:val="24"/>
          <w:szCs w:val="24"/>
        </w:rPr>
        <w:t>Erklärungsa</w:t>
      </w:r>
      <w:r w:rsidRPr="00B51B4A">
        <w:rPr>
          <w:sz w:val="24"/>
          <w:szCs w:val="24"/>
          <w:lang w:val="de-AT"/>
        </w:rPr>
        <w:t>nsätze</w:t>
      </w:r>
      <w:proofErr w:type="spellEnd"/>
      <w:r w:rsidRPr="00B51B4A">
        <w:rPr>
          <w:sz w:val="24"/>
          <w:szCs w:val="24"/>
          <w:lang w:val="de-AT"/>
        </w:rPr>
        <w:t xml:space="preserve"> von staatlich sanktionierter Gewalt in vergleichender Perspektive</w:t>
      </w:r>
    </w:p>
    <w:p w:rsidR="00666500" w:rsidRPr="00B51B4A" w:rsidRDefault="00C0065C" w:rsidP="003E1D0D">
      <w:r>
        <w:rPr>
          <w:noProof/>
          <w:color w:val="0000FF"/>
          <w:lang w:eastAsia="de-DE"/>
        </w:rPr>
        <w:drawing>
          <wp:anchor distT="0" distB="0" distL="114300" distR="114300" simplePos="0" relativeHeight="251658240" behindDoc="0" locked="0" layoutInCell="1" allowOverlap="1" wp14:anchorId="792F6521" wp14:editId="2A478DB0">
            <wp:simplePos x="0" y="0"/>
            <wp:positionH relativeFrom="margin">
              <wp:posOffset>-53975</wp:posOffset>
            </wp:positionH>
            <wp:positionV relativeFrom="margin">
              <wp:posOffset>836930</wp:posOffset>
            </wp:positionV>
            <wp:extent cx="2491740" cy="3536315"/>
            <wp:effectExtent l="0" t="0" r="3810" b="6985"/>
            <wp:wrapSquare wrapText="bothSides"/>
            <wp:docPr id="1" name="Grafik 1" descr="Kain erschlägt Ab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n erschlägt Abe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740" cy="3536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1B4A">
        <w:rPr>
          <w:i/>
        </w:rPr>
        <w:t>Bild</w:t>
      </w:r>
      <w:r w:rsidR="00666500" w:rsidRPr="00B51B4A">
        <w:rPr>
          <w:i/>
        </w:rPr>
        <w:t xml:space="preserve">: </w:t>
      </w:r>
      <w:proofErr w:type="spellStart"/>
      <w:r w:rsidR="00666500" w:rsidRPr="00B51B4A">
        <w:t>Kain</w:t>
      </w:r>
      <w:proofErr w:type="spellEnd"/>
      <w:r w:rsidR="00666500" w:rsidRPr="00B51B4A">
        <w:t xml:space="preserve"> erschlägt Abel</w:t>
      </w:r>
      <w:r w:rsidR="00B51B4A">
        <w:t xml:space="preserve"> (Albrecht Dürer, 1511)</w:t>
      </w:r>
      <w:r w:rsidR="00666500" w:rsidRPr="00B51B4A">
        <w:t>.</w:t>
      </w:r>
      <w:r>
        <w:rPr>
          <w:rStyle w:val="Funotenzeichen"/>
        </w:rPr>
        <w:footnoteReference w:id="1"/>
      </w:r>
      <w:r w:rsidR="00666500" w:rsidRPr="00B51B4A">
        <w:rPr>
          <w:i/>
        </w:rPr>
        <w:t xml:space="preserve">  </w:t>
      </w:r>
      <w:r w:rsidR="00666500" w:rsidRPr="00B51B4A">
        <w:rPr>
          <w:i/>
        </w:rPr>
        <w:br/>
      </w:r>
      <w:r w:rsidR="00B51B4A">
        <w:t xml:space="preserve">Ist Gewalt eine anthropologische Konstante, dem Menschsein gleichsam mitgegeben? Selbst wenn dem so sein sollte, geht es hier – und eigentlich immer, wenn die Frage nach der Gewalt auftaucht – um die Bedingungen, unter denen sie sich äußert, und um die Frage, ob diese Bedingungen von uns kontrolliert, beherrscht werden können. </w:t>
      </w:r>
      <w:proofErr w:type="spellStart"/>
      <w:r w:rsidR="00B51B4A">
        <w:t>Kain</w:t>
      </w:r>
      <w:proofErr w:type="spellEnd"/>
      <w:r w:rsidR="00B51B4A">
        <w:t xml:space="preserve"> erschlägt Abel, weil e</w:t>
      </w:r>
      <w:r w:rsidR="006C53C3">
        <w:t>r</w:t>
      </w:r>
      <w:r w:rsidR="00B51B4A">
        <w:t xml:space="preserve"> dessen – vermutlich glücklicheres </w:t>
      </w:r>
      <w:r w:rsidR="006C53C3">
        <w:t>- A</w:t>
      </w:r>
      <w:r w:rsidR="00B51B4A">
        <w:t xml:space="preserve">nderssein </w:t>
      </w:r>
      <w:r w:rsidR="006C53C3">
        <w:t>nicht ertragen kann, er d</w:t>
      </w:r>
      <w:r w:rsidR="00666500" w:rsidRPr="00B51B4A">
        <w:t>ie Vorzüge – oder mit heute gesprochen – die Differenz zueinander nicht anerkennen und mit körperlicher Gewalt ausräumen</w:t>
      </w:r>
      <w:r w:rsidR="006C53C3">
        <w:t xml:space="preserve"> will</w:t>
      </w:r>
      <w:r w:rsidR="00666500" w:rsidRPr="00B51B4A">
        <w:t xml:space="preserve">. Das schwächere Opfer geschunden unter dem Täter – nackt, die bloßen Menschen, Opfer und Täter. Das scheint archaisch, aber wenn wir das Beil durch eine Machete ersetzen, könnte </w:t>
      </w:r>
      <w:r>
        <w:t xml:space="preserve">das Bild </w:t>
      </w:r>
      <w:r w:rsidR="00666500" w:rsidRPr="00B51B4A">
        <w:t xml:space="preserve">eine Szene aus dem Bürgerkrieg in Rwanda </w:t>
      </w:r>
      <w:r w:rsidR="00585E28" w:rsidRPr="00B51B4A">
        <w:t>a</w:t>
      </w:r>
      <w:r w:rsidR="00666500" w:rsidRPr="00B51B4A">
        <w:t>us dem Jahre 1994 darstellen.</w:t>
      </w:r>
    </w:p>
    <w:p w:rsidR="00666500" w:rsidRPr="006C53C3" w:rsidRDefault="00666500" w:rsidP="003E1D0D">
      <w:r w:rsidRPr="006C53C3">
        <w:t xml:space="preserve">Wenn ich im </w:t>
      </w:r>
      <w:r w:rsidR="006C53C3" w:rsidRPr="006C53C3">
        <w:t>Folgenden</w:t>
      </w:r>
      <w:r w:rsidRPr="006C53C3">
        <w:t xml:space="preserve"> staatlich sanktionierte Gewalt im 20. Jahrhundert zum Thema</w:t>
      </w:r>
      <w:r w:rsidR="006C53C3">
        <w:t xml:space="preserve"> mache</w:t>
      </w:r>
      <w:r w:rsidRPr="006C53C3">
        <w:t>, so nehme ich damit implizit gegen eine zentrale These historisch-soziologischer Forschung Stellung</w:t>
      </w:r>
      <w:r w:rsidR="006C53C3">
        <w:t>,</w:t>
      </w:r>
      <w:r w:rsidRPr="006C53C3">
        <w:t xml:space="preserve"> </w:t>
      </w:r>
      <w:r w:rsidR="006C53C3">
        <w:t>d</w:t>
      </w:r>
      <w:r w:rsidRPr="006C53C3">
        <w:t xml:space="preserve">ie von der zunehmenden Zivilisierung und Zurückdrängung von Gewalt aus der bürgerlichen Gesellschaft ausgeht (Norbert Elias). </w:t>
      </w:r>
      <w:r w:rsidR="003B0FC8" w:rsidRPr="006C53C3">
        <w:t xml:space="preserve">Elias allerdings beschreibt einen gesellschaftlichen, keinen biologischen Prozess. Die Zivilisationsschranken, die er beschreibt, können Menschen, die sie geschaffen haben, also auch wieder einreißen und die Gewalt, die sie gezähmt haben, wieder </w:t>
      </w:r>
      <w:proofErr w:type="spellStart"/>
      <w:r w:rsidR="003B0FC8" w:rsidRPr="006C53C3">
        <w:t>entgrenzen</w:t>
      </w:r>
      <w:proofErr w:type="spellEnd"/>
      <w:r w:rsidR="003B0FC8" w:rsidRPr="006C53C3">
        <w:t xml:space="preserve">. </w:t>
      </w:r>
      <w:r w:rsidRPr="006C53C3">
        <w:t xml:space="preserve">Das Thema kann also erschreckende Weiterungen haben und bedürfte eigentlich mehr Zeit, vorsichtiger, sich besinnender statt zusammenfassender, referierender Sprache. </w:t>
      </w:r>
      <w:r w:rsidR="003B0FC8" w:rsidRPr="006C53C3">
        <w:t xml:space="preserve">Unter dieser </w:t>
      </w:r>
      <w:proofErr w:type="spellStart"/>
      <w:r w:rsidR="003B0FC8" w:rsidRPr="006C53C3">
        <w:t>Kautele</w:t>
      </w:r>
      <w:proofErr w:type="spellEnd"/>
      <w:r w:rsidR="003B0FC8" w:rsidRPr="006C53C3">
        <w:t xml:space="preserve"> werde ich also versuchen, eine</w:t>
      </w:r>
      <w:r w:rsidR="00C0065C">
        <w:t>n</w:t>
      </w:r>
      <w:r w:rsidR="003B0FC8" w:rsidRPr="006C53C3">
        <w:t xml:space="preserve"> zusammenfassende</w:t>
      </w:r>
      <w:r w:rsidR="006C53C3">
        <w:t>n Aufriss</w:t>
      </w:r>
      <w:r w:rsidR="003B0FC8" w:rsidRPr="006C53C3">
        <w:t xml:space="preserve"> der Gewaltproblematik zu geben. </w:t>
      </w:r>
    </w:p>
    <w:p w:rsidR="009B5C4E" w:rsidRPr="00B51B4A" w:rsidRDefault="003B0FC8" w:rsidP="00A149FB">
      <w:pPr>
        <w:rPr>
          <w:i/>
        </w:rPr>
      </w:pPr>
      <w:r w:rsidRPr="00B51B4A">
        <w:rPr>
          <w:b/>
        </w:rPr>
        <w:t xml:space="preserve">Zum Beginn: </w:t>
      </w:r>
      <w:r w:rsidR="003E1D0D" w:rsidRPr="00B51B4A">
        <w:rPr>
          <w:b/>
        </w:rPr>
        <w:t>Ausgrenzende oder Kollek</w:t>
      </w:r>
      <w:r w:rsidR="005C7D11" w:rsidRPr="00B51B4A">
        <w:rPr>
          <w:b/>
        </w:rPr>
        <w:t>tivdeutungen</w:t>
      </w:r>
      <w:r w:rsidR="005C7D11" w:rsidRPr="00B51B4A">
        <w:t xml:space="preserve"> (Persönlichkeits-und Kulturerklärung</w:t>
      </w:r>
      <w:r w:rsidR="00C0065C">
        <w:t>en</w:t>
      </w:r>
      <w:r w:rsidR="005C7D11" w:rsidRPr="00B51B4A">
        <w:t>)</w:t>
      </w:r>
    </w:p>
    <w:p w:rsidR="004819F5" w:rsidRDefault="003B0FC8" w:rsidP="00A149FB">
      <w:r w:rsidRPr="006C53C3">
        <w:t xml:space="preserve">Im Auftrag des US War Information Office untersuchte </w:t>
      </w:r>
      <w:r w:rsidR="004819F5" w:rsidRPr="006C53C3">
        <w:t>Ruth Benedict</w:t>
      </w:r>
      <w:r w:rsidRPr="006C53C3">
        <w:t xml:space="preserve">, die sich einen Namen in kulturvergleichender Anthropologie gemacht hatte, </w:t>
      </w:r>
      <w:r w:rsidR="006C53C3">
        <w:t xml:space="preserve">nach dem Zweiten Weltkrieg </w:t>
      </w:r>
      <w:r w:rsidRPr="006C53C3">
        <w:t>den japanischen Nationalcharakter mit dem Ziel, den unterstellten kriegerischen Charakter der Japaner zu ergründen. Benedict fand diesen in ihrer Untersuchung bestätigt und ging von frühkindlichen Frustrationen in der Erziehung aus</w:t>
      </w:r>
      <w:r w:rsidR="006C53C3">
        <w:rPr>
          <w:rStyle w:val="Funotenzeichen"/>
        </w:rPr>
        <w:footnoteReference w:id="2"/>
      </w:r>
      <w:r w:rsidRPr="00B51B4A">
        <w:t>.</w:t>
      </w:r>
      <w:r w:rsidR="004819F5" w:rsidRPr="00B51B4A">
        <w:t xml:space="preserve"> </w:t>
      </w:r>
      <w:r w:rsidR="009B5C4E" w:rsidRPr="00B51B4A">
        <w:br/>
      </w:r>
      <w:r w:rsidR="009B5C4E" w:rsidRPr="006657A6">
        <w:t xml:space="preserve">In Deutschland </w:t>
      </w:r>
      <w:r w:rsidR="006657A6">
        <w:t xml:space="preserve">entsprachen </w:t>
      </w:r>
      <w:r w:rsidR="00DB48F0">
        <w:t xml:space="preserve">dieser Interpretation </w:t>
      </w:r>
      <w:r w:rsidR="006657A6">
        <w:t xml:space="preserve">(populär-)wissenschaftliche Konzepte wie die </w:t>
      </w:r>
      <w:r w:rsidR="006657A6">
        <w:lastRenderedPageBreak/>
        <w:t xml:space="preserve">Kontinuitätsthese </w:t>
      </w:r>
      <w:r w:rsidR="009B5C4E" w:rsidRPr="006657A6">
        <w:t>„von Luther bis Hitler“</w:t>
      </w:r>
      <w:r w:rsidR="006657A6">
        <w:t>, der „</w:t>
      </w:r>
      <w:r w:rsidR="009B5C4E" w:rsidRPr="006657A6">
        <w:t>autoritäre Charakter</w:t>
      </w:r>
      <w:r w:rsidR="006657A6">
        <w:t>“ (Frankfurter Schule, Adorno, Horkheimer) od</w:t>
      </w:r>
      <w:r w:rsidR="00304453" w:rsidRPr="006657A6">
        <w:t xml:space="preserve">er </w:t>
      </w:r>
      <w:r w:rsidR="006657A6">
        <w:t xml:space="preserve">die </w:t>
      </w:r>
      <w:r w:rsidR="00304453" w:rsidRPr="006657A6">
        <w:t>Individualisierung</w:t>
      </w:r>
      <w:r w:rsidR="006657A6">
        <w:t xml:space="preserve"> des brutalen Einzeltäters oder einer insgesamt brutalen Organisation wie der SS, wie sie bereits in </w:t>
      </w:r>
      <w:r w:rsidR="00304453" w:rsidRPr="006657A6">
        <w:t>frühe</w:t>
      </w:r>
      <w:r w:rsidR="006657A6">
        <w:t>n</w:t>
      </w:r>
      <w:r w:rsidR="00304453" w:rsidRPr="006657A6">
        <w:t xml:space="preserve"> Berichte</w:t>
      </w:r>
      <w:r w:rsidR="006657A6">
        <w:t>n</w:t>
      </w:r>
      <w:r w:rsidR="00304453" w:rsidRPr="006657A6">
        <w:t xml:space="preserve"> über ausgesuchte </w:t>
      </w:r>
      <w:r w:rsidR="006657A6" w:rsidRPr="006657A6">
        <w:t>Brutalitäten</w:t>
      </w:r>
      <w:r w:rsidR="00304453" w:rsidRPr="006657A6">
        <w:t xml:space="preserve"> im K</w:t>
      </w:r>
      <w:r w:rsidR="006657A6">
        <w:t xml:space="preserve">onzentrationslager zu finden sind. </w:t>
      </w:r>
      <w:r w:rsidR="006E64C7">
        <w:t xml:space="preserve">Todorov weist auf frühe KZ-Literatur u.a. von </w:t>
      </w:r>
      <w:r w:rsidR="006E64C7" w:rsidRPr="00586432">
        <w:t xml:space="preserve">Bettelheim, Langbein, </w:t>
      </w:r>
      <w:proofErr w:type="spellStart"/>
      <w:r w:rsidR="006E64C7" w:rsidRPr="00586432">
        <w:t>Kautksy</w:t>
      </w:r>
      <w:proofErr w:type="spellEnd"/>
      <w:r w:rsidR="006E64C7" w:rsidRPr="00586432">
        <w:t xml:space="preserve">, aber auch Berichte aus dem </w:t>
      </w:r>
      <w:proofErr w:type="spellStart"/>
      <w:r w:rsidR="006E64C7" w:rsidRPr="00586432">
        <w:t>GuLag</w:t>
      </w:r>
      <w:proofErr w:type="spellEnd"/>
      <w:r w:rsidR="006E64C7">
        <w:t xml:space="preserve"> hin</w:t>
      </w:r>
      <w:r w:rsidR="006E64C7" w:rsidRPr="00586432">
        <w:t xml:space="preserve">, </w:t>
      </w:r>
      <w:r w:rsidR="006E64C7">
        <w:t>die der Interpretation von „ganz normalen Menschen“ als Täter schon recht nahe kam und</w:t>
      </w:r>
      <w:r w:rsidR="006E64C7" w:rsidRPr="00586432">
        <w:t xml:space="preserve"> bestätig</w:t>
      </w:r>
      <w:r w:rsidR="006E64C7">
        <w:t>t</w:t>
      </w:r>
      <w:r w:rsidR="006E64C7" w:rsidRPr="00586432">
        <w:t xml:space="preserve">e, dass die „Bestien“ </w:t>
      </w:r>
      <w:r w:rsidR="006E64C7">
        <w:t xml:space="preserve">eher </w:t>
      </w:r>
      <w:r w:rsidR="006E64C7" w:rsidRPr="00586432">
        <w:t>die wenigen waren</w:t>
      </w:r>
      <w:r w:rsidR="006E64C7">
        <w:t>, die allerdings als negative Vorbilder als Verstärker von Gewaltbereitschaft dienen konnten</w:t>
      </w:r>
      <w:r w:rsidR="006E64C7" w:rsidRPr="00586432">
        <w:t>.</w:t>
      </w:r>
      <w:r w:rsidR="006E64C7" w:rsidRPr="00B51B4A">
        <w:rPr>
          <w:b/>
        </w:rPr>
        <w:t xml:space="preserve"> </w:t>
      </w:r>
      <w:r w:rsidR="006E64C7">
        <w:t xml:space="preserve">hin. Er zitiert </w:t>
      </w:r>
      <w:r w:rsidR="006E64C7" w:rsidRPr="00586432">
        <w:t>Primo Levi</w:t>
      </w:r>
      <w:r w:rsidR="006E64C7">
        <w:t xml:space="preserve"> aus einem Appendix zu der späteren französischen Auflage seines KZ-Berichtes „Ist das ein Mensch?“</w:t>
      </w:r>
      <w:r w:rsidR="006E64C7" w:rsidRPr="00586432">
        <w:t>: „Es gibt die Ungeheuer, aber die sind zu wenig, als dass sie wirklich gefährlich werden könnten. Wer gefährlich ist, das sind die normalen Menschen.“</w:t>
      </w:r>
      <w:r w:rsidR="006E64C7">
        <w:rPr>
          <w:rStyle w:val="Funotenzeichen"/>
        </w:rPr>
        <w:footnoteReference w:id="3"/>
      </w:r>
      <w:r w:rsidR="006E64C7" w:rsidRPr="00586432">
        <w:t xml:space="preserve"> </w:t>
      </w:r>
      <w:r w:rsidR="006E64C7" w:rsidRPr="00B51B4A">
        <w:t xml:space="preserve">Todorov </w:t>
      </w:r>
      <w:r w:rsidR="006E64C7">
        <w:t xml:space="preserve">zeigt auch, dass sich manche Einstellungen mit der Zeit wandelten. So habe die ehemalige KZ-Gefangene </w:t>
      </w:r>
      <w:r w:rsidR="006E64C7" w:rsidRPr="00B51B4A">
        <w:t xml:space="preserve">Germaine </w:t>
      </w:r>
      <w:proofErr w:type="spellStart"/>
      <w:r w:rsidR="006E64C7" w:rsidRPr="00B51B4A">
        <w:t>Tillion</w:t>
      </w:r>
      <w:proofErr w:type="spellEnd"/>
      <w:r w:rsidR="006E64C7" w:rsidRPr="00B51B4A">
        <w:t xml:space="preserve"> in der ersten Version ihres </w:t>
      </w:r>
      <w:r w:rsidR="006E64C7">
        <w:t>KZ-Berichtes</w:t>
      </w:r>
      <w:r w:rsidR="006E64C7" w:rsidRPr="00B51B4A">
        <w:t xml:space="preserve"> die Erklärung für die Grausamkeiten im Nationalcharakter der Deutschen gesehen, in </w:t>
      </w:r>
      <w:r w:rsidR="006E64C7">
        <w:t>einer</w:t>
      </w:r>
      <w:r w:rsidR="006E64C7" w:rsidRPr="00B51B4A">
        <w:t xml:space="preserve"> späteren </w:t>
      </w:r>
      <w:r w:rsidR="006E64C7">
        <w:t>Auflage</w:t>
      </w:r>
      <w:r w:rsidR="006E64C7" w:rsidRPr="00B51B4A">
        <w:t xml:space="preserve"> </w:t>
      </w:r>
      <w:r w:rsidR="006E64C7">
        <w:t xml:space="preserve">aber </w:t>
      </w:r>
      <w:r w:rsidR="006E64C7" w:rsidRPr="00B51B4A">
        <w:t>geschrieben: „Heute schäme ich mich für dieses Urteil, denn ich bin überzeugt, dass in der gleichen Lage jedes andere nationale Kollektiv ebenfalls abgeirrt wäre.“</w:t>
      </w:r>
      <w:r w:rsidR="006E64C7">
        <w:rPr>
          <w:rStyle w:val="Funotenzeichen"/>
        </w:rPr>
        <w:footnoteReference w:id="4"/>
      </w:r>
      <w:r w:rsidR="006E64C7" w:rsidRPr="00B51B4A">
        <w:t xml:space="preserve"> </w:t>
      </w:r>
      <w:r w:rsidR="006E64C7">
        <w:br/>
        <w:t>Anfangs hatten solche Deutungen es schwer, sich in der Öffentlichkeit oder auch in der Fachwelt An</w:t>
      </w:r>
      <w:r w:rsidR="00A4519E">
        <w:t xml:space="preserve">erkennung </w:t>
      </w:r>
      <w:r w:rsidR="006E64C7">
        <w:t xml:space="preserve">zu </w:t>
      </w:r>
      <w:r w:rsidR="00A4519E">
        <w:t>f</w:t>
      </w:r>
      <w:r w:rsidR="006E64C7">
        <w:t>i</w:t>
      </w:r>
      <w:r w:rsidR="00A4519E">
        <w:t>nden</w:t>
      </w:r>
      <w:r w:rsidR="009B5C4E" w:rsidRPr="006657A6">
        <w:t xml:space="preserve">. </w:t>
      </w:r>
      <w:r w:rsidR="004819F5" w:rsidRPr="006657A6">
        <w:t xml:space="preserve">Die in Nürnberg angeklagten NS-Täter </w:t>
      </w:r>
      <w:r w:rsidR="009B5C4E" w:rsidRPr="006657A6">
        <w:t xml:space="preserve">wurden u.a. </w:t>
      </w:r>
      <w:r w:rsidR="004819F5" w:rsidRPr="006657A6">
        <w:t>Rohrschach-Test</w:t>
      </w:r>
      <w:r w:rsidR="009B5C4E" w:rsidRPr="006657A6">
        <w:t>s und ps</w:t>
      </w:r>
      <w:r w:rsidR="006657A6">
        <w:t>y</w:t>
      </w:r>
      <w:r w:rsidR="009B5C4E" w:rsidRPr="006657A6">
        <w:t>chologischen Interviews</w:t>
      </w:r>
      <w:r w:rsidR="004819F5" w:rsidRPr="006657A6">
        <w:t xml:space="preserve"> unterzogen. </w:t>
      </w:r>
      <w:r w:rsidR="006E64C7">
        <w:t xml:space="preserve">Die Ergebnisse blieben umstritten, bestätigten aber kaum die Version von brutalen oder </w:t>
      </w:r>
      <w:r w:rsidR="00936C4A">
        <w:t>aggressiven</w:t>
      </w:r>
      <w:r w:rsidR="006E64C7">
        <w:t xml:space="preserve"> Menschen</w:t>
      </w:r>
      <w:r w:rsidR="00936C4A">
        <w:t>; psychoanalytische Deutungen entdeckten eher kindlich-regressive Züge, um eine gewisse Verleugnungshaltung (die angesichts drohender Todesstrafe allerdings kaum hätte verwundern sollen) und Starrheit zu erklären. Erst eine wiederholte A</w:t>
      </w:r>
      <w:r w:rsidR="00936C4A" w:rsidRPr="00936C4A">
        <w:t>uswertung des Nürnberger Materials</w:t>
      </w:r>
      <w:r w:rsidR="004819F5" w:rsidRPr="006657A6">
        <w:t xml:space="preserve"> </w:t>
      </w:r>
      <w:r w:rsidR="00936C4A">
        <w:t xml:space="preserve">im Jahre 1976 kam zu dem Ergebnis: </w:t>
      </w:r>
      <w:r w:rsidR="004819F5" w:rsidRPr="006657A6">
        <w:t>„Aus unseren Befunden müssen wir nicht nur schließen, dass solche Personen weder krank noch einzigartig sind, sondern auch, dass wir sie heute in jedem anderen Land der Erde antreffen würden.“</w:t>
      </w:r>
      <w:r w:rsidR="006657A6">
        <w:rPr>
          <w:rStyle w:val="Funotenzeichen"/>
        </w:rPr>
        <w:footnoteReference w:id="5"/>
      </w:r>
      <w:r w:rsidR="004819F5" w:rsidRPr="00B51B4A">
        <w:t xml:space="preserve"> </w:t>
      </w:r>
      <w:r w:rsidR="00304453" w:rsidRPr="00B51B4A">
        <w:br/>
      </w:r>
      <w:r w:rsidR="00DB7048" w:rsidRPr="00DB7048">
        <w:t xml:space="preserve">Todorov </w:t>
      </w:r>
      <w:r w:rsidR="00DB7048">
        <w:t xml:space="preserve">selbst </w:t>
      </w:r>
      <w:r w:rsidR="00DB7048" w:rsidRPr="00DB7048">
        <w:t xml:space="preserve">betont den „universalen Auftrag“ </w:t>
      </w:r>
      <w:r w:rsidR="00DB7048">
        <w:t xml:space="preserve">durch das jeweilige Regime </w:t>
      </w:r>
      <w:r w:rsidR="00DB7048" w:rsidRPr="00DB7048">
        <w:t>als wichtige ideologisch-moralische Rahmenbedingung</w:t>
      </w:r>
      <w:r w:rsidR="00DB7048">
        <w:t xml:space="preserve">, die willkürliche Gewalt möglich mache: </w:t>
      </w:r>
      <w:r w:rsidR="00DB7048" w:rsidRPr="00DB7048">
        <w:t>„Menschen [sind] fähig, ihr Handeln in jeweils spezifische Referenzrahmen einzuordnen (‚es war eben Krieg‘, ‚es war eben Befehl‘</w:t>
      </w:r>
      <w:r w:rsidR="00DB7048">
        <w:t xml:space="preserve">, </w:t>
      </w:r>
      <w:r w:rsidR="00DB7048" w:rsidRPr="00DB7048">
        <w:t xml:space="preserve">‚ich fand es grausam, aber ich musste es tun‘), die es ihnen erlauben, ihr Handeln als etwas von ihrer Person Unabhängiges zu betrachten.“ </w:t>
      </w:r>
      <w:r w:rsidR="00750345">
        <w:t>Diese Menschen trennen zwischen einer Person, die es außerhalb dieses Referenzrahmens gegeben hat (und noch geben kann), die Gewalt ablehnt oder von ihrer Unrechtmäßigkeit überzeugt ist, und den Handlungsbedingungen innerhalb des neuen  Referenzrahmens. So habe der ehemalige KZ-Kommandant Franz</w:t>
      </w:r>
      <w:r w:rsidR="00DB7048" w:rsidRPr="00DB7048">
        <w:t xml:space="preserve"> Stangl </w:t>
      </w:r>
      <w:r w:rsidR="00750345">
        <w:t>sein Handeln damit entschuldigt, dass</w:t>
      </w:r>
      <w:r w:rsidR="00DB7048" w:rsidRPr="00DB7048">
        <w:t xml:space="preserve"> – wie er es auf der Polizeischule gelernt habe - zur Verantwortung für eine Tat der freie Wille</w:t>
      </w:r>
      <w:r w:rsidR="00750345">
        <w:t xml:space="preserve"> gehöre,</w:t>
      </w:r>
      <w:r w:rsidR="00DB7048" w:rsidRPr="00DB7048">
        <w:t xml:space="preserve"> der aber habe </w:t>
      </w:r>
      <w:r w:rsidR="00750345">
        <w:t xml:space="preserve">ihm </w:t>
      </w:r>
      <w:r w:rsidR="00DB7048" w:rsidRPr="00DB7048">
        <w:t>gefehlt</w:t>
      </w:r>
      <w:r w:rsidR="00750345">
        <w:t xml:space="preserve">: </w:t>
      </w:r>
      <w:r w:rsidR="00DB7048" w:rsidRPr="00DB7048">
        <w:t xml:space="preserve">„Diese partikulare nationalsozialistische Moral enthielt … als zentrales Moment die Vorstellung erstens von einer absoluten Ungleichheit von Menschen … </w:t>
      </w:r>
      <w:r w:rsidR="00DB7048" w:rsidRPr="00DB7048">
        <w:lastRenderedPageBreak/>
        <w:t>und zweitens die Setzung, dass diese Ungleichheit eine Bedrohung für die nach rassistischen Kriterien höherwertige Gruppe von Menschen bedeute, der man um das eigene Überleben willen begegnen musste.“</w:t>
      </w:r>
      <w:r w:rsidR="0008770A">
        <w:rPr>
          <w:rStyle w:val="Funotenzeichen"/>
        </w:rPr>
        <w:footnoteReference w:id="6"/>
      </w:r>
      <w:r w:rsidR="004B7053">
        <w:br/>
      </w:r>
      <w:r w:rsidR="004B7053" w:rsidRPr="00B51B4A">
        <w:t>Die</w:t>
      </w:r>
      <w:r w:rsidR="004B7053">
        <w:t>se</w:t>
      </w:r>
      <w:r w:rsidR="004B7053" w:rsidRPr="00B51B4A">
        <w:t xml:space="preserve"> partikulare Moral weicht von der universalistischen ab, die aus einer vor-nationalsozialistischen Welt stammt. </w:t>
      </w:r>
      <w:r w:rsidR="004B7053" w:rsidRPr="004B7053">
        <w:t>Fein</w:t>
      </w:r>
      <w:r w:rsidR="004B7053" w:rsidRPr="00B51B4A">
        <w:t xml:space="preserve"> </w:t>
      </w:r>
      <w:r w:rsidR="004B7053">
        <w:t xml:space="preserve">spricht von </w:t>
      </w:r>
      <w:r w:rsidR="004B7053" w:rsidRPr="00B51B4A">
        <w:t>ein</w:t>
      </w:r>
      <w:r w:rsidR="004B7053">
        <w:t>em</w:t>
      </w:r>
      <w:r w:rsidR="004B7053" w:rsidRPr="00B51B4A">
        <w:t xml:space="preserve"> </w:t>
      </w:r>
      <w:r w:rsidR="004B7053" w:rsidRPr="004B7053">
        <w:t>„Universum der allgemeinen Verbindlichkeiten“</w:t>
      </w:r>
      <w:r w:rsidR="00AA1894">
        <w:t xml:space="preserve"> („</w:t>
      </w:r>
      <w:proofErr w:type="spellStart"/>
      <w:r w:rsidR="00AA1894">
        <w:t>universe</w:t>
      </w:r>
      <w:proofErr w:type="spellEnd"/>
      <w:r w:rsidR="00AA1894">
        <w:t xml:space="preserve"> </w:t>
      </w:r>
      <w:proofErr w:type="spellStart"/>
      <w:r w:rsidR="00AA1894">
        <w:t>of</w:t>
      </w:r>
      <w:proofErr w:type="spellEnd"/>
      <w:r w:rsidR="00AA1894">
        <w:t xml:space="preserve"> </w:t>
      </w:r>
      <w:proofErr w:type="spellStart"/>
      <w:r w:rsidR="00AA1894">
        <w:t>obligation</w:t>
      </w:r>
      <w:proofErr w:type="spellEnd"/>
      <w:r w:rsidR="00AA1894">
        <w:t>“)</w:t>
      </w:r>
      <w:r w:rsidR="004B7053" w:rsidRPr="004B7053">
        <w:t>, dem wir uns gemeinhin unterwerfen.</w:t>
      </w:r>
      <w:r w:rsidR="0008770A">
        <w:rPr>
          <w:rStyle w:val="Funotenzeichen"/>
        </w:rPr>
        <w:footnoteReference w:id="7"/>
      </w:r>
      <w:r w:rsidR="004B7053" w:rsidRPr="00B51B4A">
        <w:t xml:space="preserve"> „Die erste Stufe aller bekannten Genozide liegt entsprechend darin, dieses Universum der allgemeinen Verbindlichkeiten neu zu definieren, das heißt, </w:t>
      </w:r>
      <w:r w:rsidR="004B7053" w:rsidRPr="00CE18C0">
        <w:t>Kriterien von Zugehörigkeit und Nicht-Zugehörigkeit zu entwickeln, diese Definition normativ zu begründen und die Zugehörigen auf die zugrunde liegende partikulare Moral zu verpflichten.“</w:t>
      </w:r>
      <w:r w:rsidR="00CE18C0">
        <w:rPr>
          <w:rStyle w:val="Funotenzeichen"/>
        </w:rPr>
        <w:footnoteReference w:id="8"/>
      </w:r>
      <w:r w:rsidR="004463E1">
        <w:br/>
      </w:r>
      <w:r w:rsidR="004463E1" w:rsidRPr="00B51B4A">
        <w:t>Die Studie von Dicks</w:t>
      </w:r>
      <w:r w:rsidR="00AA1894">
        <w:t xml:space="preserve"> </w:t>
      </w:r>
      <w:r w:rsidR="004463E1" w:rsidRPr="00B51B4A">
        <w:t>über „acht subalterne ‚SS-Killer‘“</w:t>
      </w:r>
      <w:r w:rsidR="00AA1894">
        <w:t xml:space="preserve"> habe </w:t>
      </w:r>
      <w:r w:rsidR="004463E1" w:rsidRPr="00B51B4A">
        <w:t>bereits von „</w:t>
      </w:r>
      <w:proofErr w:type="spellStart"/>
      <w:r w:rsidR="004463E1" w:rsidRPr="00B51B4A">
        <w:t>ordinary</w:t>
      </w:r>
      <w:proofErr w:type="spellEnd"/>
      <w:r w:rsidR="004463E1" w:rsidRPr="00B51B4A">
        <w:t xml:space="preserve"> </w:t>
      </w:r>
      <w:proofErr w:type="spellStart"/>
      <w:r w:rsidR="004463E1" w:rsidRPr="00B51B4A">
        <w:t>men</w:t>
      </w:r>
      <w:proofErr w:type="spellEnd"/>
      <w:r w:rsidR="004463E1" w:rsidRPr="00B51B4A">
        <w:t>“</w:t>
      </w:r>
      <w:r w:rsidR="00AA1894">
        <w:t xml:space="preserve"> gesprochen</w:t>
      </w:r>
      <w:r w:rsidR="004463E1" w:rsidRPr="00B51B4A">
        <w:t>.</w:t>
      </w:r>
      <w:r w:rsidR="00AA1894">
        <w:rPr>
          <w:rStyle w:val="Funotenzeichen"/>
        </w:rPr>
        <w:footnoteReference w:id="9"/>
      </w:r>
      <w:r w:rsidR="004463E1" w:rsidRPr="00B51B4A">
        <w:t xml:space="preserve"> Die Untersuchung von Wilhelm über Führungspersonal der „Einsatzgruppe A“ k</w:t>
      </w:r>
      <w:r w:rsidR="00AA1894">
        <w:t>a</w:t>
      </w:r>
      <w:r w:rsidR="004463E1" w:rsidRPr="00B51B4A">
        <w:t>m zum Ergebnis, dass es sich nicht um den „‘Typus des brutalen Schlägers‘“ gehandelt habe, „sondern ‚um SS-Führer bzw. Kriminalpolizeibeamte mit eher überdurchschnittlichen Talenten, Ambitionen und Ausbildungsvoraussetzungen, die allerdings schon frühzeitig zur NS-Bewegung gefunden hatten</w:t>
      </w:r>
      <w:proofErr w:type="gramStart"/>
      <w:r w:rsidR="004463E1">
        <w:t>.</w:t>
      </w:r>
      <w:r w:rsidR="004463E1" w:rsidRPr="00B51B4A">
        <w:t>‘</w:t>
      </w:r>
      <w:proofErr w:type="gramEnd"/>
      <w:r w:rsidR="004463E1" w:rsidRPr="00B51B4A">
        <w:t xml:space="preserve">“ </w:t>
      </w:r>
      <w:r w:rsidR="00DB6222">
        <w:rPr>
          <w:rStyle w:val="Funotenzeichen"/>
        </w:rPr>
        <w:footnoteReference w:id="10"/>
      </w:r>
      <w:r w:rsidR="00EB6082">
        <w:br/>
        <w:t>Allerdings sollen diese Befunde den individuellen Faktor nicht gänzlich ausschalten. Persönlichkeiten, die Gewaltbereitschaft bereits mitbrachten, wenn sie Gewaltorganisationen beitraten, verschärften das allgemeine Klima, erschwerten Entzugsmöglichkeiten für Zögerliche und schufen Beispielsituationen, die den anderen zeigten, dass Grausamkeiten ungestraft vollzogen werden konnten und von Vorgesetzten sogar gebilligt wurden.</w:t>
      </w:r>
      <w:r w:rsidR="00EB6082">
        <w:rPr>
          <w:rStyle w:val="Funotenzeichen"/>
        </w:rPr>
        <w:footnoteReference w:id="11"/>
      </w:r>
    </w:p>
    <w:p w:rsidR="00750345" w:rsidRPr="004744E5" w:rsidRDefault="00750345" w:rsidP="00A149FB">
      <w:pPr>
        <w:rPr>
          <w:b/>
        </w:rPr>
      </w:pPr>
      <w:r w:rsidRPr="00750345">
        <w:rPr>
          <w:b/>
        </w:rPr>
        <w:t>Gewaltforschung</w:t>
      </w:r>
      <w:r w:rsidR="00304453" w:rsidRPr="00750345">
        <w:rPr>
          <w:b/>
        </w:rPr>
        <w:t>:</w:t>
      </w:r>
      <w:r w:rsidR="00304453" w:rsidRPr="00B51B4A">
        <w:rPr>
          <w:i/>
        </w:rPr>
        <w:t xml:space="preserve"> </w:t>
      </w:r>
      <w:r w:rsidR="004744E5" w:rsidRPr="004744E5">
        <w:rPr>
          <w:b/>
        </w:rPr>
        <w:t>Versuch einer Systematisierung</w:t>
      </w:r>
    </w:p>
    <w:p w:rsidR="00771715" w:rsidRPr="004A270C" w:rsidRDefault="00750345">
      <w:r>
        <w:t>Obwohl es in den Dekaden nach dem Zweiten Weltkrieg an Schilderungen gewalt</w:t>
      </w:r>
      <w:r w:rsidR="00D04CE0">
        <w:t>t</w:t>
      </w:r>
      <w:r>
        <w:t xml:space="preserve">ätiger Systeme nicht mangelte, </w:t>
      </w:r>
      <w:r w:rsidR="00D04CE0">
        <w:t xml:space="preserve">entstand eine soziologisch und psychologisch begründete Gewaltforschung erst </w:t>
      </w:r>
      <w:r w:rsidR="004744E5">
        <w:t xml:space="preserve">seit </w:t>
      </w:r>
      <w:r w:rsidR="00D04CE0">
        <w:t>den 19</w:t>
      </w:r>
      <w:r w:rsidR="004744E5">
        <w:t>7</w:t>
      </w:r>
      <w:r w:rsidR="00D04CE0">
        <w:t xml:space="preserve">0er Jahren. </w:t>
      </w:r>
      <w:r w:rsidR="00D04CE0" w:rsidRPr="00B51B4A">
        <w:t>Heitmeyer/</w:t>
      </w:r>
      <w:proofErr w:type="spellStart"/>
      <w:r w:rsidR="00D04CE0" w:rsidRPr="00B51B4A">
        <w:t>Hagan</w:t>
      </w:r>
      <w:proofErr w:type="spellEnd"/>
      <w:r w:rsidR="00D04CE0">
        <w:t xml:space="preserve"> gehen in ihrem (ersten in deutscher Sprache vorliegenden zusammenfassenden)</w:t>
      </w:r>
      <w:r w:rsidR="00D04CE0" w:rsidRPr="00B51B4A">
        <w:t xml:space="preserve"> Handbuch der Gewaltforschung</w:t>
      </w:r>
      <w:r w:rsidR="00D04CE0">
        <w:t xml:space="preserve"> von unterschiedlichen Faktoren aus, die bei der Untersuchung von insbesondere staatlich sanktionierter Gewalt zu beachten sind: Als Umgebungsfaktoren sind vor allem gesellschaftliche und staatliche Strukturen wichtig, die im Wesentlichen den vorherrschenden Gewaltdiskurs definieren, aber auch Gelegenheits- oder Zufallsstrukturen, die einzelne Handlungen auslösen oder abstützen können. </w:t>
      </w:r>
      <w:r w:rsidR="00CB22E6">
        <w:t xml:space="preserve">Wir beschäftigen uns hier mit kollektiven Opfer und Tätern, in denen Faktoren von Deeskalation in der Regel schwieriger </w:t>
      </w:r>
      <w:r w:rsidR="00CB22E6">
        <w:lastRenderedPageBreak/>
        <w:t>durchzusetzen sind als in individuellen Situationen.</w:t>
      </w:r>
      <w:r w:rsidR="00CB22E6">
        <w:rPr>
          <w:rStyle w:val="Funotenzeichen"/>
        </w:rPr>
        <w:footnoteReference w:id="12"/>
      </w:r>
      <w:r w:rsidR="00CB22E6">
        <w:t xml:space="preserve"> </w:t>
      </w:r>
      <w:r w:rsidR="005C7D11" w:rsidRPr="00B51B4A">
        <w:rPr>
          <w:b/>
        </w:rPr>
        <w:br/>
      </w:r>
      <w:r w:rsidR="00CB22E6" w:rsidRPr="00CB22E6">
        <w:t xml:space="preserve">Die wichtigsten </w:t>
      </w:r>
      <w:r w:rsidR="004819F5" w:rsidRPr="00CB22E6">
        <w:rPr>
          <w:b/>
        </w:rPr>
        <w:t>Akteure</w:t>
      </w:r>
      <w:r w:rsidR="00CB22E6" w:rsidRPr="00CB22E6">
        <w:t xml:space="preserve"> in unserem Falle (NS), aber auch in vielen andern Fällen von politisch induziertem Massenmord sind</w:t>
      </w:r>
      <w:r w:rsidR="004819F5" w:rsidRPr="00CB22E6">
        <w:t>: politische Entscheider</w:t>
      </w:r>
      <w:r w:rsidR="00660638" w:rsidRPr="00CB22E6">
        <w:t>/-innen</w:t>
      </w:r>
      <w:r w:rsidR="004819F5" w:rsidRPr="00CB22E6">
        <w:t>, Propagandisten, Organisatoren, tatsächliche Täter</w:t>
      </w:r>
      <w:r w:rsidR="00CB22E6" w:rsidRPr="00CB22E6">
        <w:t>/-innen</w:t>
      </w:r>
      <w:r w:rsidR="00660638" w:rsidRPr="00CB22E6">
        <w:t xml:space="preserve"> (.z.B. weibliche KZ-Wächterinnen)</w:t>
      </w:r>
      <w:r w:rsidR="004819F5" w:rsidRPr="00CB22E6">
        <w:t>.</w:t>
      </w:r>
      <w:r w:rsidR="004339DC">
        <w:br/>
      </w:r>
      <w:r w:rsidR="00CB22E6">
        <w:t xml:space="preserve">Unter den </w:t>
      </w:r>
      <w:r w:rsidR="005C7D11" w:rsidRPr="00B51B4A">
        <w:rPr>
          <w:b/>
        </w:rPr>
        <w:t>Tatformen</w:t>
      </w:r>
      <w:r w:rsidR="00CB22E6">
        <w:rPr>
          <w:b/>
        </w:rPr>
        <w:t xml:space="preserve"> </w:t>
      </w:r>
      <w:r w:rsidR="00CB22E6">
        <w:t>unterscheide ich hier zwischen</w:t>
      </w:r>
      <w:r w:rsidR="005C7D11" w:rsidRPr="00CB22E6">
        <w:t xml:space="preserve">: </w:t>
      </w:r>
      <w:r w:rsidR="00660638" w:rsidRPr="00CB22E6">
        <w:t xml:space="preserve">Pogrom – </w:t>
      </w:r>
      <w:r w:rsidR="005C7D11" w:rsidRPr="00CB22E6">
        <w:t>Massaker</w:t>
      </w:r>
      <w:r w:rsidR="00660638" w:rsidRPr="00CB22E6">
        <w:t xml:space="preserve"> </w:t>
      </w:r>
      <w:r w:rsidR="005C7D11" w:rsidRPr="00CB22E6">
        <w:t xml:space="preserve">– Folter </w:t>
      </w:r>
      <w:r w:rsidR="00CB22E6">
        <w:t>–</w:t>
      </w:r>
      <w:r w:rsidR="005C7D11" w:rsidRPr="00CB22E6">
        <w:t xml:space="preserve"> Massenerschießungen</w:t>
      </w:r>
      <w:r w:rsidR="00CB22E6">
        <w:t>, um die Rolle von Umgebungsbedingungen und Opfer-Täter-Beziehung kurz zu charakterisieren. Diese Kate</w:t>
      </w:r>
      <w:r w:rsidR="004744E5">
        <w:t>gor</w:t>
      </w:r>
      <w:r w:rsidR="00CB22E6">
        <w:t xml:space="preserve">ien überlappen sich und sich nicht </w:t>
      </w:r>
      <w:r w:rsidR="004339DC">
        <w:t>scharf</w:t>
      </w:r>
      <w:r w:rsidR="00CB22E6">
        <w:t xml:space="preserve"> voneinander zu trennen.</w:t>
      </w:r>
      <w:r w:rsidR="00771715" w:rsidRPr="00B51B4A">
        <w:br/>
      </w:r>
      <w:r w:rsidR="004937EE" w:rsidRPr="00B51B4A">
        <w:rPr>
          <w:b/>
        </w:rPr>
        <w:t xml:space="preserve">Pogrom/Massaker: </w:t>
      </w:r>
      <w:r w:rsidR="005314D1" w:rsidRPr="00B51B4A">
        <w:br/>
      </w:r>
      <w:r w:rsidR="005314D1" w:rsidRPr="00B51B4A">
        <w:rPr>
          <w:b/>
        </w:rPr>
        <w:t>Pogrom</w:t>
      </w:r>
      <w:r w:rsidR="004339DC">
        <w:rPr>
          <w:b/>
        </w:rPr>
        <w:t>:</w:t>
      </w:r>
      <w:r w:rsidR="005314D1" w:rsidRPr="00B51B4A">
        <w:rPr>
          <w:b/>
        </w:rPr>
        <w:t xml:space="preserve"> </w:t>
      </w:r>
      <w:r w:rsidR="004937EE" w:rsidRPr="004339DC">
        <w:t xml:space="preserve">Richtet sich gegen </w:t>
      </w:r>
      <w:r w:rsidR="004339DC" w:rsidRPr="004339DC">
        <w:t xml:space="preserve">eine </w:t>
      </w:r>
      <w:r w:rsidR="004937EE" w:rsidRPr="004339DC">
        <w:t>Gruppe</w:t>
      </w:r>
      <w:r w:rsidR="004339DC">
        <w:t xml:space="preserve"> (Zivilisten)</w:t>
      </w:r>
      <w:r w:rsidR="004937EE" w:rsidRPr="004339DC">
        <w:t xml:space="preserve">, hat </w:t>
      </w:r>
      <w:r w:rsidR="004339DC" w:rsidRPr="004339DC">
        <w:t xml:space="preserve">in der Regel einen konkreten </w:t>
      </w:r>
      <w:r w:rsidR="004937EE" w:rsidRPr="004339DC">
        <w:t>Auslöser</w:t>
      </w:r>
      <w:r w:rsidR="004339DC" w:rsidRPr="004339DC">
        <w:t xml:space="preserve"> auf dem Hintergrund langfristiger Diskriminierung</w:t>
      </w:r>
      <w:r w:rsidR="004744E5">
        <w:t xml:space="preserve"> und/oder</w:t>
      </w:r>
      <w:r w:rsidR="004339DC" w:rsidRPr="004339DC">
        <w:t xml:space="preserve"> sozialer Isolierung. </w:t>
      </w:r>
      <w:r w:rsidR="004937EE" w:rsidRPr="004339DC">
        <w:t>Rolle der Zuschauer wichtig</w:t>
      </w:r>
      <w:r w:rsidR="004339DC" w:rsidRPr="004339DC">
        <w:t xml:space="preserve">, </w:t>
      </w:r>
      <w:r w:rsidR="004744E5">
        <w:t xml:space="preserve">sie </w:t>
      </w:r>
      <w:r w:rsidR="004339DC" w:rsidRPr="004339DC">
        <w:t>können verzögernd, verhindern, unterstützend wirken</w:t>
      </w:r>
      <w:r w:rsidR="004744E5">
        <w:t>.</w:t>
      </w:r>
      <w:r w:rsidR="004937EE" w:rsidRPr="004339DC">
        <w:t xml:space="preserve"> </w:t>
      </w:r>
      <w:r w:rsidR="004937EE" w:rsidRPr="004339DC">
        <w:sym w:font="Wingdings" w:char="F0E0"/>
      </w:r>
      <w:r w:rsidR="004937EE" w:rsidRPr="004339DC">
        <w:t xml:space="preserve"> Dynamik: </w:t>
      </w:r>
      <w:r w:rsidR="004339DC" w:rsidRPr="004339DC">
        <w:t>W</w:t>
      </w:r>
      <w:r w:rsidR="004937EE" w:rsidRPr="004339DC">
        <w:t>enn erst einmal die Anfangsphase überschritten ist</w:t>
      </w:r>
      <w:r w:rsidR="004339DC" w:rsidRPr="004339DC">
        <w:t xml:space="preserve">, ist </w:t>
      </w:r>
      <w:r w:rsidR="00615B18">
        <w:t xml:space="preserve">fortschreitender Gewalt </w:t>
      </w:r>
      <w:r w:rsidR="004339DC" w:rsidRPr="004339DC">
        <w:t>schwer Einhalt zu gebieten</w:t>
      </w:r>
      <w:r w:rsidR="004937EE" w:rsidRPr="004339DC">
        <w:t>. Spontan durch Zivilisten oder gesteuert durch staatliche Gewalt</w:t>
      </w:r>
      <w:r w:rsidR="00615B18">
        <w:t>träger</w:t>
      </w:r>
      <w:r w:rsidR="004937EE" w:rsidRPr="004339DC">
        <w:t>.</w:t>
      </w:r>
      <w:r w:rsidR="004339DC">
        <w:rPr>
          <w:rStyle w:val="Funotenzeichen"/>
        </w:rPr>
        <w:footnoteReference w:id="13"/>
      </w:r>
      <w:r w:rsidR="004937EE" w:rsidRPr="004339DC">
        <w:t xml:space="preserve"> </w:t>
      </w:r>
      <w:r w:rsidR="00FF51F6" w:rsidRPr="00B51B4A">
        <w:br/>
      </w:r>
      <w:r w:rsidR="00FF51F6" w:rsidRPr="004339DC">
        <w:rPr>
          <w:b/>
        </w:rPr>
        <w:t>Massaker</w:t>
      </w:r>
      <w:r w:rsidR="004339DC">
        <w:rPr>
          <w:b/>
        </w:rPr>
        <w:t>:</w:t>
      </w:r>
      <w:r w:rsidR="00FF51F6" w:rsidRPr="00B51B4A">
        <w:rPr>
          <w:b/>
          <w:i/>
        </w:rPr>
        <w:t xml:space="preserve"> </w:t>
      </w:r>
      <w:r w:rsidR="00A149FB" w:rsidRPr="004339DC">
        <w:t>Getötet werden überwiegend Zivilisten/</w:t>
      </w:r>
      <w:proofErr w:type="spellStart"/>
      <w:r w:rsidR="00A149FB" w:rsidRPr="004339DC">
        <w:t>Nichtkombatanten</w:t>
      </w:r>
      <w:proofErr w:type="spellEnd"/>
      <w:r w:rsidR="00A149FB" w:rsidRPr="004339DC">
        <w:t xml:space="preserve">, die „als </w:t>
      </w:r>
      <w:r w:rsidR="00615B18">
        <w:t>‚</w:t>
      </w:r>
      <w:r w:rsidR="00A149FB" w:rsidRPr="004339DC">
        <w:t>unschuldig‘ oder wehrlos“</w:t>
      </w:r>
      <w:r w:rsidR="00A149FB" w:rsidRPr="00B51B4A">
        <w:t xml:space="preserve"> angesehen werden</w:t>
      </w:r>
      <w:r w:rsidR="00615B18">
        <w:t>.</w:t>
      </w:r>
      <w:r w:rsidR="00A149FB" w:rsidRPr="00B51B4A">
        <w:t xml:space="preserve"> </w:t>
      </w:r>
      <w:r w:rsidR="004339DC" w:rsidRPr="004339DC">
        <w:t>Manchmal g</w:t>
      </w:r>
      <w:r w:rsidR="00A149FB" w:rsidRPr="004339DC">
        <w:t xml:space="preserve">ehören </w:t>
      </w:r>
      <w:r w:rsidR="00615B18">
        <w:t xml:space="preserve">Täter und Opfer </w:t>
      </w:r>
      <w:r w:rsidR="00A149FB" w:rsidRPr="004339DC">
        <w:t xml:space="preserve">derselben </w:t>
      </w:r>
      <w:r w:rsidR="004339DC" w:rsidRPr="004339DC">
        <w:t>(</w:t>
      </w:r>
      <w:r w:rsidR="00A149FB" w:rsidRPr="004339DC">
        <w:t>Dorf</w:t>
      </w:r>
      <w:r w:rsidR="004339DC" w:rsidRPr="004339DC">
        <w:t>-)G</w:t>
      </w:r>
      <w:r w:rsidR="00A149FB" w:rsidRPr="004339DC">
        <w:t xml:space="preserve">emeinschaft etc. an. </w:t>
      </w:r>
      <w:r w:rsidR="00A149FB" w:rsidRPr="004339DC">
        <w:sym w:font="Wingdings" w:char="F0E0"/>
      </w:r>
      <w:r w:rsidR="00A149FB" w:rsidRPr="004339DC">
        <w:t xml:space="preserve"> „plötzlicher Umschlag“, Akte von ausgesuchter Grausamkeit</w:t>
      </w:r>
      <w:r w:rsidR="004339DC">
        <w:t xml:space="preserve">, ähnlich wie bei Pogrom, </w:t>
      </w:r>
      <w:r w:rsidR="00615B18">
        <w:t xml:space="preserve">allerdings </w:t>
      </w:r>
      <w:r w:rsidR="004339DC">
        <w:t>staatliche Akteure</w:t>
      </w:r>
      <w:r w:rsidR="00A149FB" w:rsidRPr="004339DC">
        <w:t>.</w:t>
      </w:r>
      <w:r w:rsidR="007A5C39">
        <w:rPr>
          <w:rStyle w:val="Funotenzeichen"/>
        </w:rPr>
        <w:footnoteReference w:id="14"/>
      </w:r>
      <w:r w:rsidR="00A149FB" w:rsidRPr="00B51B4A">
        <w:t xml:space="preserve"> </w:t>
      </w:r>
      <w:r w:rsidR="004937EE" w:rsidRPr="00B51B4A">
        <w:br/>
        <w:t>Das Folgende gilt insbesondere bei ethnisch aufgeladenen Konflikten</w:t>
      </w:r>
      <w:proofErr w:type="gramStart"/>
      <w:r w:rsidR="004937EE" w:rsidRPr="00B51B4A">
        <w:t>.</w:t>
      </w:r>
      <w:proofErr w:type="gramEnd"/>
      <w:r w:rsidR="004937EE" w:rsidRPr="00B51B4A">
        <w:br/>
      </w:r>
      <w:r w:rsidR="00A149FB" w:rsidRPr="00B51B4A">
        <w:t xml:space="preserve">„Kurz gesagt, wird das </w:t>
      </w:r>
      <w:r w:rsidR="00A149FB" w:rsidRPr="007A5C39">
        <w:t>Massaker im Namen einer Vision eines noch zu konstruierenden oder eines zu verteidigenden kollektiven Selbst</w:t>
      </w:r>
      <w:r w:rsidR="00A149FB" w:rsidRPr="00B51B4A">
        <w:rPr>
          <w:b/>
        </w:rPr>
        <w:t xml:space="preserve"> </w:t>
      </w:r>
      <w:r w:rsidR="00A149FB" w:rsidRPr="00B51B4A">
        <w:t xml:space="preserve">begangen – auf der Grundlage von Ressentiments, Angst oder Rachegelüsten“. </w:t>
      </w:r>
      <w:r w:rsidR="007F7AC7" w:rsidRPr="007A5C39">
        <w:sym w:font="Wingdings" w:char="F0E0"/>
      </w:r>
      <w:r w:rsidR="007F7AC7" w:rsidRPr="007A5C39">
        <w:t xml:space="preserve"> Entmenschlichung des </w:t>
      </w:r>
      <w:r w:rsidR="007A5C39">
        <w:t>„</w:t>
      </w:r>
      <w:r w:rsidR="007F7AC7" w:rsidRPr="007A5C39">
        <w:t>Feindes</w:t>
      </w:r>
      <w:r w:rsidR="007A5C39">
        <w:t>“</w:t>
      </w:r>
      <w:r w:rsidR="007F7AC7" w:rsidRPr="007A5C39">
        <w:t xml:space="preserve"> </w:t>
      </w:r>
      <w:r w:rsidR="007F7AC7" w:rsidRPr="00B51B4A">
        <w:t>(„Krankheitserreger“, „Insekten“: „zoologische Repräsentation des Feindes“)</w:t>
      </w:r>
      <w:r w:rsidR="007A5C39">
        <w:t>.</w:t>
      </w:r>
      <w:r w:rsidR="007F7AC7" w:rsidRPr="00B51B4A">
        <w:t xml:space="preserve"> </w:t>
      </w:r>
      <w:r w:rsidR="00A149FB" w:rsidRPr="007A5C39">
        <w:t>„Zu töten heißt demnach nicht nur, zu reinigen, sondern auch, sich selbst zu reinigen.“</w:t>
      </w:r>
      <w:r w:rsidR="00A149FB" w:rsidRPr="00B51B4A">
        <w:t xml:space="preserve"> </w:t>
      </w:r>
      <w:r w:rsidR="00A149FB" w:rsidRPr="007A5C39">
        <w:t xml:space="preserve">Pol Pot im Krieg gegen die vietnamesischen Kommunisten: „Man </w:t>
      </w:r>
      <w:proofErr w:type="spellStart"/>
      <w:r w:rsidR="00A149FB" w:rsidRPr="007A5C39">
        <w:t>muß</w:t>
      </w:r>
      <w:proofErr w:type="spellEnd"/>
      <w:r w:rsidR="00A149FB" w:rsidRPr="007A5C39">
        <w:t xml:space="preserve"> den vietnamesischen Geist im Körper des Khmer eliminieren.“ </w:t>
      </w:r>
      <w:r w:rsidR="007A5C39" w:rsidRPr="007A5C39">
        <w:t xml:space="preserve">Der </w:t>
      </w:r>
      <w:r w:rsidR="007A5C39">
        <w:t>ö</w:t>
      </w:r>
      <w:r w:rsidR="00A149FB" w:rsidRPr="007A5C39">
        <w:t xml:space="preserve">ffentliche Gewaltdiskurs </w:t>
      </w:r>
      <w:r w:rsidR="007A5C39">
        <w:t>„</w:t>
      </w:r>
      <w:r w:rsidR="00A149FB" w:rsidRPr="007A5C39">
        <w:t xml:space="preserve">erzeugt faktisch ein Klima der Straflosigkeit und stachelt gerade dadurch zum Mord an.“ </w:t>
      </w:r>
      <w:r w:rsidR="002702B9">
        <w:t>Heitmeyer/</w:t>
      </w:r>
      <w:proofErr w:type="spellStart"/>
      <w:r w:rsidR="002702B9">
        <w:t>Hagan</w:t>
      </w:r>
      <w:proofErr w:type="spellEnd"/>
      <w:r w:rsidR="002702B9">
        <w:t xml:space="preserve"> sehen generell eine „Abwertung von Leben“ und eine „Aufwertung von Macht“.</w:t>
      </w:r>
      <w:r w:rsidR="002702B9">
        <w:rPr>
          <w:rStyle w:val="Funotenzeichen"/>
        </w:rPr>
        <w:footnoteReference w:id="15"/>
      </w:r>
      <w:r w:rsidR="004937EE" w:rsidRPr="007A5C39">
        <w:br/>
      </w:r>
      <w:r w:rsidR="007A5C39">
        <w:t>Wichtige Beobachtung</w:t>
      </w:r>
      <w:r w:rsidR="007A5C39" w:rsidRPr="007A5C39">
        <w:t>:</w:t>
      </w:r>
      <w:r w:rsidR="00C05AAE" w:rsidRPr="007A5C39">
        <w:rPr>
          <w:i/>
        </w:rPr>
        <w:t xml:space="preserve"> </w:t>
      </w:r>
      <w:r w:rsidR="004937EE" w:rsidRPr="007A5C39">
        <w:t xml:space="preserve">„Statt im Massaker die Zerstörung der sozialen Bande zwischen Opfern und ihrer unmittelbaren Umgebung zu sehen, lautet die Hypothese nun umgekehrt, dass zur Tat geschritten wird, weil die sozialen Bande mit den prospektiven Opfern vorgängig zerschnitten wurden.“ </w:t>
      </w:r>
      <w:r w:rsidR="004937EE" w:rsidRPr="007A5C39">
        <w:sym w:font="Wingdings" w:char="F0E0"/>
      </w:r>
      <w:r w:rsidR="004937EE" w:rsidRPr="007A5C39">
        <w:t xml:space="preserve"> Verweist auf zugrunde liegende Krise der Gesellschaft</w:t>
      </w:r>
      <w:r w:rsidR="007A5C39">
        <w:t xml:space="preserve">. Genau dieses geschah im Krieg um die Unabhängigkeit von Bosnien-Herzegowina (1992-1995). Die Serben (und </w:t>
      </w:r>
      <w:proofErr w:type="spellStart"/>
      <w:r w:rsidR="007A5C39">
        <w:t>z.Tl</w:t>
      </w:r>
      <w:proofErr w:type="spellEnd"/>
      <w:r w:rsidR="007A5C39">
        <w:t xml:space="preserve">. auch die Kroaten) hatten die persönlichen und kommunalen Bande zu den Bosniaken bereits in der Vorbereitung des Krieges weitgehend zerschnitten, was viele Bosniaken in der Sehnsucht nach und politischen Aktivitäten sowie Einstellungen für den Frieden nicht hinreichend wahrgenommen hatten. </w:t>
      </w:r>
      <w:r w:rsidR="004937EE" w:rsidRPr="00B51B4A">
        <w:br/>
      </w:r>
      <w:r w:rsidR="007C1F34" w:rsidRPr="007C1F34">
        <w:t xml:space="preserve">Die Gewalttäter haben </w:t>
      </w:r>
      <w:r w:rsidR="007C1F34">
        <w:t xml:space="preserve">oft bereits negative </w:t>
      </w:r>
      <w:r w:rsidR="007C1F34" w:rsidRPr="007C1F34">
        <w:t>kulturelle „Körperbilder“</w:t>
      </w:r>
      <w:r w:rsidR="007C1F34">
        <w:t xml:space="preserve"> der Opfer entwickelt</w:t>
      </w:r>
      <w:r w:rsidR="007C1F34" w:rsidRPr="007C1F34">
        <w:t xml:space="preserve">, </w:t>
      </w:r>
      <w:r w:rsidR="00615B18">
        <w:t xml:space="preserve">gegen die sich Gewaltakte richten, </w:t>
      </w:r>
      <w:r w:rsidR="007C1F34">
        <w:t>wes</w:t>
      </w:r>
      <w:r w:rsidR="007C1F34" w:rsidRPr="007C1F34">
        <w:t>wegen z.B. jüdischen Männern die Bärte abgeschnitten oder den groß gewachsenen Tutsi</w:t>
      </w:r>
      <w:r w:rsidR="007C1F34">
        <w:t>s</w:t>
      </w:r>
      <w:r w:rsidR="007C1F34" w:rsidRPr="007C1F34">
        <w:t xml:space="preserve"> </w:t>
      </w:r>
      <w:r w:rsidR="007C1F34">
        <w:t xml:space="preserve">von den oft kleineren Hutus (groß-klein=mächtig-unterlegen) </w:t>
      </w:r>
      <w:r w:rsidR="007C1F34" w:rsidRPr="007C1F34">
        <w:t xml:space="preserve">die Sehnen durchgeschnitten wurden, </w:t>
      </w:r>
      <w:r w:rsidR="007C1F34">
        <w:t xml:space="preserve">so </w:t>
      </w:r>
      <w:r w:rsidR="007C1F34" w:rsidRPr="007C1F34">
        <w:t>dass sie nicht mehr stehen konnten</w:t>
      </w:r>
      <w:r w:rsidR="007C1F34">
        <w:t>.</w:t>
      </w:r>
      <w:r w:rsidR="007C1F34">
        <w:rPr>
          <w:rStyle w:val="Funotenzeichen"/>
        </w:rPr>
        <w:footnoteReference w:id="16"/>
      </w:r>
      <w:r w:rsidR="007C1F34">
        <w:t xml:space="preserve"> </w:t>
      </w:r>
      <w:r w:rsidR="004937EE" w:rsidRPr="00B51B4A">
        <w:rPr>
          <w:u w:val="single"/>
        </w:rPr>
        <w:br/>
      </w:r>
      <w:r w:rsidR="00F80CBD" w:rsidRPr="00B51B4A">
        <w:rPr>
          <w:b/>
        </w:rPr>
        <w:lastRenderedPageBreak/>
        <w:t>Folter</w:t>
      </w:r>
      <w:r w:rsidR="007C1F34">
        <w:rPr>
          <w:b/>
        </w:rPr>
        <w:t xml:space="preserve">: </w:t>
      </w:r>
      <w:proofErr w:type="spellStart"/>
      <w:r w:rsidR="00771715" w:rsidRPr="00C80831">
        <w:t>Kelman</w:t>
      </w:r>
      <w:proofErr w:type="spellEnd"/>
      <w:r w:rsidR="00771715" w:rsidRPr="00B51B4A">
        <w:t xml:space="preserve"> benennt drei Prozesse, die – gemeinsam – die Institutionalisierung der </w:t>
      </w:r>
      <w:r w:rsidR="00F80CBD" w:rsidRPr="00B51B4A">
        <w:t>Folter</w:t>
      </w:r>
      <w:r w:rsidR="00771715" w:rsidRPr="00B51B4A">
        <w:t xml:space="preserve"> ermöglichen: </w:t>
      </w:r>
      <w:r w:rsidR="00771715" w:rsidRPr="00C80831">
        <w:t xml:space="preserve">Autorisierung, </w:t>
      </w:r>
      <w:proofErr w:type="spellStart"/>
      <w:r w:rsidR="00771715" w:rsidRPr="00C80831">
        <w:t>Routinisierung</w:t>
      </w:r>
      <w:proofErr w:type="spellEnd"/>
      <w:r w:rsidR="00771715" w:rsidRPr="00C80831">
        <w:t xml:space="preserve"> und Dehumanisierung.</w:t>
      </w:r>
      <w:r w:rsidR="006C1D06" w:rsidRPr="00C80831">
        <w:t xml:space="preserve"> </w:t>
      </w:r>
      <w:r w:rsidR="006C1D06" w:rsidRPr="00C80831">
        <w:sym w:font="Wingdings" w:char="F0E0"/>
      </w:r>
      <w:r w:rsidR="006C1D06" w:rsidRPr="00C80831">
        <w:t xml:space="preserve"> Training, </w:t>
      </w:r>
      <w:r w:rsidR="00C80831">
        <w:t xml:space="preserve">Ausbildung von </w:t>
      </w:r>
      <w:r w:rsidR="006C1D06" w:rsidRPr="00C80831">
        <w:t>spezielle</w:t>
      </w:r>
      <w:r w:rsidR="00C80831">
        <w:t>n</w:t>
      </w:r>
      <w:r w:rsidR="006C1D06" w:rsidRPr="00C80831">
        <w:t xml:space="preserve"> </w:t>
      </w:r>
      <w:r w:rsidR="00C80831">
        <w:t>Folterinstitutionen</w:t>
      </w:r>
      <w:r w:rsidR="00CD6D87">
        <w:t>, -einheiten (z.B. während der Apartheid in Südafrika)</w:t>
      </w:r>
      <w:r w:rsidR="00C80831">
        <w:t>.</w:t>
      </w:r>
      <w:r w:rsidR="00C80831">
        <w:rPr>
          <w:rStyle w:val="Funotenzeichen"/>
        </w:rPr>
        <w:footnoteReference w:id="17"/>
      </w:r>
      <w:r w:rsidR="00CE18C0">
        <w:t xml:space="preserve"> Der Soziologe Kühl hält die Zugehörigkeit zu und Identifikation mit speziellen </w:t>
      </w:r>
      <w:r w:rsidR="00CE18C0" w:rsidRPr="00B51B4A">
        <w:t>Organisation</w:t>
      </w:r>
      <w:r w:rsidR="00CE18C0">
        <w:t>en</w:t>
      </w:r>
      <w:r w:rsidR="00CE18C0" w:rsidRPr="00B51B4A">
        <w:t xml:space="preserve"> </w:t>
      </w:r>
      <w:r w:rsidR="00177FE6">
        <w:t xml:space="preserve">der Gewalt </w:t>
      </w:r>
      <w:r w:rsidR="00CE18C0" w:rsidRPr="00B51B4A">
        <w:t xml:space="preserve">für </w:t>
      </w:r>
      <w:r w:rsidR="00177FE6">
        <w:t>wi</w:t>
      </w:r>
      <w:r w:rsidR="00CE18C0" w:rsidRPr="00B51B4A">
        <w:t>chtig.</w:t>
      </w:r>
      <w:r w:rsidR="00E3663A">
        <w:rPr>
          <w:rStyle w:val="Funotenzeichen"/>
        </w:rPr>
        <w:footnoteReference w:id="18"/>
      </w:r>
      <w:r w:rsidR="00CE18C0" w:rsidRPr="00B51B4A">
        <w:t xml:space="preserve"> Die Machthaber schaffen </w:t>
      </w:r>
      <w:r w:rsidR="00D32CF8">
        <w:t>sich O</w:t>
      </w:r>
      <w:r w:rsidR="00CE18C0" w:rsidRPr="00177FE6">
        <w:t>rganisationen</w:t>
      </w:r>
      <w:r w:rsidR="00CE18C0" w:rsidRPr="00B51B4A">
        <w:t xml:space="preserve"> wie z.B. die SS</w:t>
      </w:r>
      <w:r w:rsidR="00177FE6">
        <w:t>,</w:t>
      </w:r>
      <w:r w:rsidR="00CE18C0" w:rsidRPr="00B51B4A">
        <w:t xml:space="preserve"> die Einsatzgruppen oder </w:t>
      </w:r>
      <w:r w:rsidR="00177FE6">
        <w:t xml:space="preserve">die </w:t>
      </w:r>
      <w:r w:rsidR="00CE18C0" w:rsidRPr="00B51B4A">
        <w:t>spezielle</w:t>
      </w:r>
      <w:r w:rsidR="00177FE6">
        <w:t>n</w:t>
      </w:r>
      <w:r w:rsidR="00CE18C0" w:rsidRPr="00B51B4A">
        <w:t xml:space="preserve"> </w:t>
      </w:r>
      <w:r w:rsidR="00177FE6">
        <w:t>Mord- und Folter-</w:t>
      </w:r>
      <w:r w:rsidR="00CE18C0" w:rsidRPr="00B51B4A">
        <w:t xml:space="preserve">Kommandos </w:t>
      </w:r>
      <w:r w:rsidR="00177FE6">
        <w:t xml:space="preserve">wie </w:t>
      </w:r>
      <w:r w:rsidR="00CE18C0" w:rsidRPr="00B51B4A">
        <w:t xml:space="preserve">in </w:t>
      </w:r>
      <w:r w:rsidR="00177FE6">
        <w:t>s</w:t>
      </w:r>
      <w:r w:rsidR="00CE18C0" w:rsidRPr="00B51B4A">
        <w:t>üdamerika</w:t>
      </w:r>
      <w:r w:rsidR="00177FE6">
        <w:t>nischen Diktaturen</w:t>
      </w:r>
      <w:r w:rsidR="00CE18C0" w:rsidRPr="00B51B4A">
        <w:t xml:space="preserve"> und </w:t>
      </w:r>
      <w:r w:rsidR="00177FE6">
        <w:t xml:space="preserve">unter der Apartheid-Regierung in </w:t>
      </w:r>
      <w:r w:rsidR="00CE18C0" w:rsidRPr="00B51B4A">
        <w:t>Südafrika</w:t>
      </w:r>
      <w:r w:rsidR="00D32CF8">
        <w:t>, deren Mitglieder zu Protagonisten der Gewaltanwendung werden</w:t>
      </w:r>
      <w:r w:rsidR="00CE18C0" w:rsidRPr="00B51B4A">
        <w:t xml:space="preserve">. </w:t>
      </w:r>
      <w:r w:rsidR="00C05AAE" w:rsidRPr="00C80831">
        <w:br/>
      </w:r>
      <w:r w:rsidR="00C80831">
        <w:t>D</w:t>
      </w:r>
      <w:r w:rsidR="007C1F34">
        <w:t xml:space="preserve">ie antikommunistische und antisozialistische Propaganda insbesondere des Militärs vor und nach der Wahl von Präsident Allende </w:t>
      </w:r>
      <w:r w:rsidR="00C80831">
        <w:t xml:space="preserve">hatte </w:t>
      </w:r>
      <w:r w:rsidR="007C1F34">
        <w:t>in Chile eine Gewaltstimmung im Militär geschaffen, da Allende als Zerstörer des überkommenen Staats-und Gesellsch</w:t>
      </w:r>
      <w:r w:rsidR="00BA220E">
        <w:t>a</w:t>
      </w:r>
      <w:r w:rsidR="007C1F34">
        <w:t xml:space="preserve">ftsgefüge angesehen wurde: </w:t>
      </w:r>
      <w:r w:rsidR="007C1F34" w:rsidRPr="00B51B4A">
        <w:t xml:space="preserve">„Der </w:t>
      </w:r>
      <w:proofErr w:type="spellStart"/>
      <w:r w:rsidR="007C1F34" w:rsidRPr="00B51B4A">
        <w:t>Haß</w:t>
      </w:r>
      <w:proofErr w:type="spellEnd"/>
      <w:r w:rsidR="007C1F34" w:rsidRPr="00B51B4A">
        <w:t>, der sich in den Putschtagen entlud, brach umstandslos mit dem Selbstbild eines zivilisierten, gleichsam europäischen Chile. Ohne dass es eines besonderen Befehls bedurft hätte, griffen in Hunderten von meist improvisierten Haftzentren die Militärs auf die schärfste Form der Gewalt in der Geschichte Chiles und Lateinamerikas, die Folter, zurück.“</w:t>
      </w:r>
      <w:r w:rsidR="00C80831">
        <w:rPr>
          <w:rStyle w:val="Funotenzeichen"/>
        </w:rPr>
        <w:footnoteReference w:id="19"/>
      </w:r>
      <w:r w:rsidR="007C1F34" w:rsidRPr="00B51B4A">
        <w:t xml:space="preserve"> </w:t>
      </w:r>
      <w:r w:rsidR="007C1F34">
        <w:br/>
      </w:r>
      <w:r w:rsidR="00A149FB" w:rsidRPr="00BA220E">
        <w:t xml:space="preserve">„Die Enteignung der Sicherheit“ </w:t>
      </w:r>
      <w:r w:rsidR="00D32CF8">
        <w:t xml:space="preserve">sei </w:t>
      </w:r>
      <w:r w:rsidR="00A149FB" w:rsidRPr="00BA220E">
        <w:t xml:space="preserve">das Ziel moderner Folter. </w:t>
      </w:r>
      <w:proofErr w:type="spellStart"/>
      <w:r w:rsidR="00BA220E" w:rsidRPr="00BA220E">
        <w:t>Görling</w:t>
      </w:r>
      <w:proofErr w:type="spellEnd"/>
      <w:r w:rsidR="00BA220E" w:rsidRPr="00BA220E">
        <w:t xml:space="preserve"> s</w:t>
      </w:r>
      <w:r w:rsidR="00A149FB" w:rsidRPr="00BA220E">
        <w:t>pricht auch von der „inszenatorischen Dimension“ der Folter.</w:t>
      </w:r>
      <w:r w:rsidR="00A149FB" w:rsidRPr="00B51B4A">
        <w:t xml:space="preserve"> </w:t>
      </w:r>
      <w:r w:rsidR="00BA220E">
        <w:t xml:space="preserve">Im </w:t>
      </w:r>
      <w:r w:rsidR="00A149FB" w:rsidRPr="00BA220E">
        <w:t>CIA Handbuch</w:t>
      </w:r>
      <w:r w:rsidR="00A149FB" w:rsidRPr="00B51B4A">
        <w:t xml:space="preserve"> </w:t>
      </w:r>
      <w:r w:rsidR="00D32CF8">
        <w:t>„</w:t>
      </w:r>
      <w:r w:rsidR="00A149FB" w:rsidRPr="00B51B4A">
        <w:t xml:space="preserve">KUBARK </w:t>
      </w:r>
      <w:proofErr w:type="spellStart"/>
      <w:r w:rsidR="00A149FB" w:rsidRPr="00B51B4A">
        <w:t>Counterintelligence</w:t>
      </w:r>
      <w:proofErr w:type="spellEnd"/>
      <w:r w:rsidR="00A149FB" w:rsidRPr="00B51B4A">
        <w:t xml:space="preserve"> Interrogation Manual“ </w:t>
      </w:r>
      <w:r w:rsidR="00BA220E">
        <w:t xml:space="preserve">heißt es: </w:t>
      </w:r>
      <w:r w:rsidR="00A149FB" w:rsidRPr="00BA220E">
        <w:t xml:space="preserve">„Regression </w:t>
      </w:r>
      <w:proofErr w:type="spellStart"/>
      <w:r w:rsidR="00A149FB" w:rsidRPr="00BA220E">
        <w:t>is</w:t>
      </w:r>
      <w:proofErr w:type="spellEnd"/>
      <w:r w:rsidR="00A149FB" w:rsidRPr="00BA220E">
        <w:t xml:space="preserve"> </w:t>
      </w:r>
      <w:proofErr w:type="spellStart"/>
      <w:r w:rsidR="00A149FB" w:rsidRPr="00BA220E">
        <w:t>basically</w:t>
      </w:r>
      <w:proofErr w:type="spellEnd"/>
      <w:r w:rsidR="00A149FB" w:rsidRPr="00BA220E">
        <w:t xml:space="preserve"> a </w:t>
      </w:r>
      <w:proofErr w:type="spellStart"/>
      <w:r w:rsidR="00A149FB" w:rsidRPr="00BA220E">
        <w:t>loss</w:t>
      </w:r>
      <w:proofErr w:type="spellEnd"/>
      <w:r w:rsidR="00A149FB" w:rsidRPr="00BA220E">
        <w:t xml:space="preserve"> </w:t>
      </w:r>
      <w:proofErr w:type="spellStart"/>
      <w:r w:rsidR="00A149FB" w:rsidRPr="00BA220E">
        <w:t>of</w:t>
      </w:r>
      <w:proofErr w:type="spellEnd"/>
      <w:r w:rsidR="00A149FB" w:rsidRPr="00BA220E">
        <w:t xml:space="preserve"> </w:t>
      </w:r>
      <w:proofErr w:type="spellStart"/>
      <w:r w:rsidR="00A149FB" w:rsidRPr="00BA220E">
        <w:t>autonomy</w:t>
      </w:r>
      <w:proofErr w:type="spellEnd"/>
      <w:r w:rsidR="00A149FB" w:rsidRPr="00BA220E">
        <w:t>“</w:t>
      </w:r>
      <w:r w:rsidR="00A149FB" w:rsidRPr="00B51B4A">
        <w:t xml:space="preserve"> und die</w:t>
      </w:r>
      <w:r w:rsidR="00BA220E">
        <w:t>s ist die</w:t>
      </w:r>
      <w:r w:rsidR="00A149FB" w:rsidRPr="00B51B4A">
        <w:t xml:space="preserve"> Intention der Folter und </w:t>
      </w:r>
      <w:r w:rsidR="00BA220E">
        <w:t xml:space="preserve">daraus ergibt sich </w:t>
      </w:r>
      <w:r w:rsidR="00A149FB" w:rsidRPr="00B51B4A">
        <w:t>d</w:t>
      </w:r>
      <w:r w:rsidR="00BA220E">
        <w:t>i</w:t>
      </w:r>
      <w:r w:rsidR="00A149FB" w:rsidRPr="00B51B4A">
        <w:t>e Wahl der Mittel.</w:t>
      </w:r>
      <w:r w:rsidR="00BA220E">
        <w:rPr>
          <w:rStyle w:val="Funotenzeichen"/>
        </w:rPr>
        <w:footnoteReference w:id="20"/>
      </w:r>
      <w:r w:rsidR="00A149FB" w:rsidRPr="00B51B4A">
        <w:t xml:space="preserve">  </w:t>
      </w:r>
      <w:r w:rsidR="00A149FB" w:rsidRPr="00B51B4A">
        <w:br/>
      </w:r>
      <w:r w:rsidR="00BA220E">
        <w:t>In Griechenland wurden während der Militärdiktatur z</w:t>
      </w:r>
      <w:r w:rsidR="004819F5" w:rsidRPr="00B51B4A">
        <w:t>um Wehrdienst Eingezogene in spezielle Einheiten gesandt und dort selbst gequält und erniedrigt</w:t>
      </w:r>
      <w:r w:rsidR="00BA220E">
        <w:t xml:space="preserve">, um zum </w:t>
      </w:r>
      <w:r w:rsidR="004A270C">
        <w:t>Folterer</w:t>
      </w:r>
      <w:r w:rsidR="00BA220E">
        <w:t xml:space="preserve"> erzogen zu werden. </w:t>
      </w:r>
      <w:r w:rsidR="004819F5" w:rsidRPr="00BA220E">
        <w:t xml:space="preserve">„M. </w:t>
      </w:r>
      <w:proofErr w:type="spellStart"/>
      <w:r w:rsidR="004819F5" w:rsidRPr="00BA220E">
        <w:t>Petrou</w:t>
      </w:r>
      <w:proofErr w:type="spellEnd"/>
      <w:r w:rsidR="004819F5" w:rsidRPr="00BA220E">
        <w:t xml:space="preserve"> sagte, nach dem ersten Tag der Gruppenfolter sei er nach Hause gegangen und habe geweint; später sei es ihm immer leichter gefallen. Nach seinen Gedanken während der Folterung befragt, antwortete er:</w:t>
      </w:r>
      <w:r w:rsidR="004819F5" w:rsidRPr="00BA220E">
        <w:br/>
        <w:t xml:space="preserve">‘Wenn ich folterte, hatte ich im Grunde das Gefühl meine Pflicht zu tun. Dabei stellte ich häufig fest, dass ich immer wieder Wendungen wie ‚verdammte Kommunisten‘ benutzte, die sie uns im Unterricht beigebracht hatten. Ich merkte, wie </w:t>
      </w:r>
      <w:r w:rsidR="00BA220E" w:rsidRPr="00BA220E">
        <w:t xml:space="preserve">ich </w:t>
      </w:r>
      <w:r w:rsidR="004819F5" w:rsidRPr="00BA220E">
        <w:t xml:space="preserve">mit der Zeit immer härter wurde. Ich verwuchs immer mehr mit dem System, ich glaubte an all das … Wenn sie dir befahlen aufzuhören, hörtest du auf. … Du </w:t>
      </w:r>
      <w:proofErr w:type="spellStart"/>
      <w:r w:rsidR="004819F5" w:rsidRPr="00BA220E">
        <w:t>tatest</w:t>
      </w:r>
      <w:proofErr w:type="spellEnd"/>
      <w:r w:rsidR="004819F5" w:rsidRPr="00BA220E">
        <w:t xml:space="preserve">, was du tun </w:t>
      </w:r>
      <w:proofErr w:type="spellStart"/>
      <w:r w:rsidR="004819F5" w:rsidRPr="00BA220E">
        <w:t>mußtest</w:t>
      </w:r>
      <w:proofErr w:type="spellEnd"/>
      <w:r w:rsidR="004819F5" w:rsidRPr="00BA220E">
        <w:t xml:space="preserve">, gar nicht einmal so sehr aus Angst, sondern weil du daran glaubtest. Angst hattest du nur am Anfang deiner Ausbildung bei der ESAT.“ </w:t>
      </w:r>
      <w:proofErr w:type="spellStart"/>
      <w:r w:rsidR="004819F5" w:rsidRPr="00BA220E">
        <w:t>Petrou</w:t>
      </w:r>
      <w:proofErr w:type="spellEnd"/>
      <w:r w:rsidR="004819F5" w:rsidRPr="00BA220E">
        <w:t xml:space="preserve"> kam nach Ende der Junta vor Gericht und</w:t>
      </w:r>
      <w:r w:rsidR="00D32CF8">
        <w:t xml:space="preserve"> sagte über seine Ausbildung</w:t>
      </w:r>
      <w:r w:rsidR="004819F5" w:rsidRPr="00BA220E">
        <w:t>: „Es ist der Umstand, dass man sich von einem menschlichen Wesen in eine Tier verwandelt.“</w:t>
      </w:r>
      <w:r w:rsidR="00CD6D87">
        <w:rPr>
          <w:rStyle w:val="Funotenzeichen"/>
        </w:rPr>
        <w:footnoteReference w:id="21"/>
      </w:r>
      <w:r w:rsidR="004819F5" w:rsidRPr="00B51B4A">
        <w:t xml:space="preserve"> </w:t>
      </w:r>
      <w:r w:rsidR="004819F5" w:rsidRPr="00B51B4A">
        <w:br/>
      </w:r>
      <w:r w:rsidR="00F80CBD" w:rsidRPr="00B51B4A">
        <w:rPr>
          <w:b/>
        </w:rPr>
        <w:t>Organisierte Massenerschießungen</w:t>
      </w:r>
      <w:r w:rsidR="00CE18C0">
        <w:rPr>
          <w:b/>
        </w:rPr>
        <w:t xml:space="preserve">: </w:t>
      </w:r>
      <w:r w:rsidR="00CD6D87">
        <w:t xml:space="preserve">Staatliche </w:t>
      </w:r>
      <w:r w:rsidR="00771715" w:rsidRPr="00B51B4A">
        <w:t>Gewaltakteure</w:t>
      </w:r>
      <w:r w:rsidR="00CD6D87">
        <w:t xml:space="preserve"> (Soldaten, Milizen, Sonderverbände)</w:t>
      </w:r>
      <w:r w:rsidR="00771715" w:rsidRPr="00B51B4A">
        <w:t xml:space="preserve">, asymmetrische </w:t>
      </w:r>
      <w:r w:rsidR="00CD6D87">
        <w:t>Gewaltv</w:t>
      </w:r>
      <w:r w:rsidR="00771715" w:rsidRPr="00B51B4A">
        <w:t>erhältnisse (reguläre Armee</w:t>
      </w:r>
      <w:r w:rsidR="00CD6D87">
        <w:t xml:space="preserve"> gegen</w:t>
      </w:r>
      <w:r w:rsidR="00771715" w:rsidRPr="00B51B4A">
        <w:t xml:space="preserve"> Freischärler, Warlords etc.). </w:t>
      </w:r>
      <w:r w:rsidR="00771715" w:rsidRPr="00CD6D87">
        <w:t>„Kriegsgewalt ist Gruppengewalt.“</w:t>
      </w:r>
      <w:r w:rsidR="00771715" w:rsidRPr="00B51B4A">
        <w:rPr>
          <w:b/>
        </w:rPr>
        <w:t xml:space="preserve"> </w:t>
      </w:r>
      <w:r w:rsidR="00771715" w:rsidRPr="00CD6D87">
        <w:t>„Das Verhalten der einzelnen Soldaten [ist] erheblich wichtiger als etwa ideologische, politische oder persönliche Motive“</w:t>
      </w:r>
      <w:r w:rsidR="00D32CF8">
        <w:t>.</w:t>
      </w:r>
      <w:r w:rsidR="00771715" w:rsidRPr="00CD6D87">
        <w:t xml:space="preserve"> Entgrenzung: „Da Gewalt eine dynamische soziale </w:t>
      </w:r>
      <w:r w:rsidR="00771715" w:rsidRPr="00CD6D87">
        <w:lastRenderedPageBreak/>
        <w:t>Praxis ist … gehören ‚Gewaltexzesse‘ zum Handlungsinventar der Kriegsgewalt. Vorstellungen, Gewalteinsätze ‚präzise‘ kalkulieren und durchführen zu können, sind illusionär.“</w:t>
      </w:r>
      <w:r w:rsidR="00CD6D87">
        <w:rPr>
          <w:rStyle w:val="Funotenzeichen"/>
        </w:rPr>
        <w:footnoteReference w:id="22"/>
      </w:r>
      <w:r w:rsidR="004D4094">
        <w:t xml:space="preserve"> </w:t>
      </w:r>
      <w:r w:rsidR="00A149FB" w:rsidRPr="00B51B4A">
        <w:t xml:space="preserve">„Soldaten werden brutal, wenn sie über einen bestimmten Zeitraum immenser Brutalität ausgesetzt sind.“ </w:t>
      </w:r>
      <w:r w:rsidR="00A149FB" w:rsidRPr="00CD6D87">
        <w:t>Einübung von Gewalt</w:t>
      </w:r>
      <w:r w:rsidR="00A149FB" w:rsidRPr="00B51B4A">
        <w:t xml:space="preserve"> </w:t>
      </w:r>
      <w:r w:rsidR="005D705E">
        <w:t>als Gruppenakt</w:t>
      </w:r>
      <w:r w:rsidR="00A149FB" w:rsidRPr="00B51B4A">
        <w:t xml:space="preserve">. </w:t>
      </w:r>
      <w:r w:rsidR="004D4094" w:rsidRPr="004D4094">
        <w:t>„Tatsächlich muss man fast tautologisch sagen, dass es ‚das Soldatische‘ in den Vorstellungen und in der Gruppenpraxis ist, was ihre Wahrnehmungen und Handlungen anleitet</w:t>
      </w:r>
      <w:r w:rsidR="004D4094">
        <w:t xml:space="preserve"> …“</w:t>
      </w:r>
      <w:r w:rsidR="004D4094" w:rsidRPr="004D4094">
        <w:t xml:space="preserve"> </w:t>
      </w:r>
      <w:r w:rsidR="00A149FB" w:rsidRPr="00CD6D87">
        <w:t>„</w:t>
      </w:r>
      <w:proofErr w:type="spellStart"/>
      <w:r w:rsidR="00A149FB" w:rsidRPr="00CD6D87">
        <w:t>Resumee</w:t>
      </w:r>
      <w:proofErr w:type="spellEnd"/>
      <w:r w:rsidR="00A149FB" w:rsidRPr="00CD6D87">
        <w:t>: Der Referenzrahmen des Krieges“</w:t>
      </w:r>
      <w:r w:rsidR="0017019A" w:rsidRPr="00CD6D87">
        <w:br/>
      </w:r>
      <w:r w:rsidR="00A149FB" w:rsidRPr="004D4094">
        <w:t>„Die Kriegsgewalt öffnet einen Deutungs- und Handlungsraum, den es im Zivilleben nicht gibt: Töten vergewaltigen, mächtig oder auch gnädig sein zu können …“ (Definition des Feindes, die allumfassend wird.</w:t>
      </w:r>
      <w:r w:rsidR="00951FDE">
        <w:t>)</w:t>
      </w:r>
      <w:r w:rsidR="004D4094" w:rsidRPr="004D4094">
        <w:rPr>
          <w:rStyle w:val="Funotenzeichen"/>
        </w:rPr>
        <w:t xml:space="preserve"> </w:t>
      </w:r>
      <w:r w:rsidR="004D4094">
        <w:rPr>
          <w:rStyle w:val="Funotenzeichen"/>
        </w:rPr>
        <w:footnoteReference w:id="23"/>
      </w:r>
      <w:r w:rsidR="004937EE" w:rsidRPr="00B51B4A">
        <w:rPr>
          <w:b/>
        </w:rPr>
        <w:br/>
      </w:r>
      <w:r w:rsidR="004937EE" w:rsidRPr="004D4094">
        <w:t xml:space="preserve">Für den Umfang des Tötens </w:t>
      </w:r>
      <w:r w:rsidR="00B40705">
        <w:t xml:space="preserve">sind </w:t>
      </w:r>
      <w:r w:rsidR="004937EE" w:rsidRPr="004D4094">
        <w:t>bürokratischer Apparat, Propagandamaschine und absolute Macht nötig</w:t>
      </w:r>
      <w:r w:rsidR="004937EE" w:rsidRPr="00B51B4A">
        <w:t xml:space="preserve">. </w:t>
      </w:r>
      <w:r w:rsidR="001D7C98">
        <w:t>G. Paul unterscheidet folgende Stufen der gewollten Entfremdung der Opfergruppen von der</w:t>
      </w:r>
      <w:r w:rsidR="001D7C98" w:rsidRPr="00951FDE">
        <w:t xml:space="preserve"> </w:t>
      </w:r>
      <w:r w:rsidR="001D7C98">
        <w:t xml:space="preserve">Gesellschaft: </w:t>
      </w:r>
      <w:r w:rsidR="001D7C98" w:rsidRPr="00515FF1">
        <w:t>„</w:t>
      </w:r>
      <w:proofErr w:type="spellStart"/>
      <w:r w:rsidR="001D7C98" w:rsidRPr="00515FF1">
        <w:t>Exterritorialisierung</w:t>
      </w:r>
      <w:proofErr w:type="spellEnd"/>
      <w:r w:rsidR="001D7C98" w:rsidRPr="00515FF1">
        <w:t xml:space="preserve">, Kriminalisierung, </w:t>
      </w:r>
      <w:proofErr w:type="spellStart"/>
      <w:r w:rsidR="001D7C98" w:rsidRPr="00515FF1">
        <w:t>Diabolisierung</w:t>
      </w:r>
      <w:proofErr w:type="spellEnd"/>
      <w:r w:rsidR="001D7C98" w:rsidRPr="00515FF1">
        <w:t>“</w:t>
      </w:r>
      <w:r w:rsidR="001D7C98" w:rsidRPr="0019258A">
        <w:t>.</w:t>
      </w:r>
      <w:r w:rsidR="001D7C98">
        <w:rPr>
          <w:rStyle w:val="Funotenzeichen"/>
        </w:rPr>
        <w:footnoteReference w:id="24"/>
      </w:r>
      <w:r w:rsidR="001D7C98" w:rsidRPr="0019258A">
        <w:t xml:space="preserve"> </w:t>
      </w:r>
      <w:r w:rsidR="004937EE" w:rsidRPr="00B51B4A">
        <w:t xml:space="preserve">Ideologische Formierung </w:t>
      </w:r>
      <w:r w:rsidR="00947805">
        <w:t xml:space="preserve">ist ein </w:t>
      </w:r>
      <w:r w:rsidR="004D4094">
        <w:t>äußerer Faktor, der das Töten der Gegner erlaubt</w:t>
      </w:r>
      <w:r w:rsidR="00947805">
        <w:t>;</w:t>
      </w:r>
      <w:r w:rsidR="004D4094">
        <w:t xml:space="preserve"> die Ideologie wirkt wie </w:t>
      </w:r>
      <w:r w:rsidR="004A270C">
        <w:t>ein Machtfaktor, der „</w:t>
      </w:r>
      <w:r w:rsidR="004D4094">
        <w:t>Freiraum</w:t>
      </w:r>
      <w:r w:rsidR="004A270C">
        <w:t>“</w:t>
      </w:r>
      <w:r w:rsidR="004D4094">
        <w:t xml:space="preserve"> zum Töten schafft, sie muss deswegen nicht unbedingt verinnerlicht werden.</w:t>
      </w:r>
      <w:r w:rsidR="004D4094">
        <w:rPr>
          <w:rStyle w:val="Funotenzeichen"/>
        </w:rPr>
        <w:footnoteReference w:id="25"/>
      </w:r>
      <w:r w:rsidR="00CD6D87" w:rsidRPr="00CD6D87">
        <w:rPr>
          <w:u w:val="single"/>
        </w:rPr>
        <w:t xml:space="preserve"> </w:t>
      </w:r>
      <w:r w:rsidR="00177FE6">
        <w:rPr>
          <w:u w:val="single"/>
        </w:rPr>
        <w:br/>
      </w:r>
      <w:r w:rsidR="00177FE6" w:rsidRPr="00B51B4A">
        <w:t xml:space="preserve">Tötungsumfang und Technik </w:t>
      </w:r>
      <w:r w:rsidR="00177FE6">
        <w:t xml:space="preserve">haben </w:t>
      </w:r>
      <w:r w:rsidR="00177FE6" w:rsidRPr="00B51B4A">
        <w:t>ein</w:t>
      </w:r>
      <w:r w:rsidR="00177FE6">
        <w:t>e</w:t>
      </w:r>
      <w:r w:rsidR="00177FE6" w:rsidRPr="00B51B4A">
        <w:t xml:space="preserve"> soziale</w:t>
      </w:r>
      <w:r w:rsidR="00177FE6">
        <w:t xml:space="preserve"> Dimension</w:t>
      </w:r>
      <w:r w:rsidR="00177FE6" w:rsidRPr="00B51B4A">
        <w:t>: „Akteure [sind] Teile eines Interaktionsgefüges, in dem sie untereinander klären, was richtig und falsch ist, in dem sie sich wechselseitig am Handeln und Entscheiden der anderen orientieren“</w:t>
      </w:r>
      <w:r w:rsidR="005179E6">
        <w:t>.</w:t>
      </w:r>
      <w:r w:rsidR="005179E6">
        <w:rPr>
          <w:rStyle w:val="Funotenzeichen"/>
        </w:rPr>
        <w:footnoteReference w:id="26"/>
      </w:r>
      <w:r w:rsidR="00CD6D87">
        <w:rPr>
          <w:u w:val="single"/>
        </w:rPr>
        <w:br/>
      </w:r>
      <w:r w:rsidR="004A270C" w:rsidRPr="004A270C">
        <w:t>Das wird bestätigt durch die seltenen, aber dennoch vorgekommenen Fällen von unvor</w:t>
      </w:r>
      <w:r w:rsidR="004A270C">
        <w:t>her</w:t>
      </w:r>
      <w:r w:rsidR="004A270C" w:rsidRPr="004A270C">
        <w:t>gesehe</w:t>
      </w:r>
      <w:r w:rsidR="004A270C">
        <w:t>ne</w:t>
      </w:r>
      <w:r w:rsidR="004A270C" w:rsidRPr="004A270C">
        <w:t xml:space="preserve">r Hilfe für Opfer, wenn der Referenzrahmen </w:t>
      </w:r>
      <w:r w:rsidR="002B198C">
        <w:t>in einer bestimmten raum-zeitlichen Situation nicht (mehr) gegeben scheint</w:t>
      </w:r>
      <w:r w:rsidR="004A270C" w:rsidRPr="004A270C">
        <w:t>. So haben Soldaten, die eben noch an Massenerschießungen teilgenommen haben, versprengte Juden, denen sie zufällig allein oder mit einem Vertrauten begegneten, aufgefo</w:t>
      </w:r>
      <w:r w:rsidR="004A270C">
        <w:t>r</w:t>
      </w:r>
      <w:r w:rsidR="004A270C" w:rsidRPr="004A270C">
        <w:t>dert, zu fliehen, damit sie diese nicht</w:t>
      </w:r>
      <w:r w:rsidR="004A270C">
        <w:t xml:space="preserve"> </w:t>
      </w:r>
      <w:r w:rsidR="004A270C" w:rsidRPr="004A270C">
        <w:t xml:space="preserve">noch zum </w:t>
      </w:r>
      <w:r w:rsidR="004A270C">
        <w:t>E</w:t>
      </w:r>
      <w:r w:rsidR="004A270C" w:rsidRPr="004A270C">
        <w:t xml:space="preserve">rschießungsplatz bringen müssen. </w:t>
      </w:r>
      <w:r w:rsidR="002B198C" w:rsidRPr="002B198C">
        <w:t>Matthäus</w:t>
      </w:r>
      <w:r w:rsidR="002B198C" w:rsidRPr="00B51B4A">
        <w:t xml:space="preserve"> </w:t>
      </w:r>
      <w:r w:rsidR="002B198C">
        <w:t>gibt e</w:t>
      </w:r>
      <w:r w:rsidR="002B198C" w:rsidRPr="00B51B4A">
        <w:t xml:space="preserve">in Beispiel für eine Verweigerung in einer Einzelsituation: Ein Polizeibataillon greift eine jüdische Frau mit ihren zwei Söhnen im Alter von 5 und 7 Jahren auf, worauf der Kommandoführer befiehlt, die „‘Judenbengel‘“ zu töten. Freiwillige melden sich nicht dafür, ein Mann erklärt, „‘sie seien nicht in den Krieg gezogen, um Kinder zu erschießen‘“. Als auch die Drohung von Befehlsverweigerung nichts ändert, erschießt der Kommandoführer Frau und Kinder. </w:t>
      </w:r>
      <w:r w:rsidR="002B198C">
        <w:t xml:space="preserve">Hieran ist bemerkenswert, dass die Soldaten sich geradezu auf den Referenzrahmen „Krieg“ berufen, der die willkürliche Erschießung von Zivilisten nicht einschließt und die Drohung des Kommandoführers deshalb verpuffen lässt. Angesichts der drei Individuen vermag </w:t>
      </w:r>
      <w:r w:rsidR="00947805">
        <w:t>d</w:t>
      </w:r>
      <w:r w:rsidR="002B198C">
        <w:t xml:space="preserve">er </w:t>
      </w:r>
      <w:r w:rsidR="00947805">
        <w:t xml:space="preserve">Führer </w:t>
      </w:r>
      <w:r w:rsidR="002B198C">
        <w:t xml:space="preserve">sich offenbar selbst nicht auf </w:t>
      </w:r>
      <w:r w:rsidR="003222B1">
        <w:t>den ideologischen Referenzrahmen des Juden als Feind zu berufen, dem er sich zwar verpflichtet fühlt, den durchzusetzen er aber offenbar in dieser Situation kein Mittel hat, also schreitet er selbst zur Tat, um das intendierte Ziel zu erreichen.</w:t>
      </w:r>
      <w:r w:rsidR="003222B1">
        <w:rPr>
          <w:rStyle w:val="Funotenzeichen"/>
        </w:rPr>
        <w:footnoteReference w:id="27"/>
      </w:r>
      <w:r w:rsidR="003222B1">
        <w:t xml:space="preserve"> </w:t>
      </w:r>
      <w:r w:rsidR="002B198C" w:rsidRPr="00B51B4A">
        <w:br/>
      </w:r>
      <w:r w:rsidR="004A270C">
        <w:lastRenderedPageBreak/>
        <w:t>Auch die allgemeinen Forschungen zum „Helfen“ bestätigen, dass Hilfe oft an konkrete Situationen gebunden ist, in denen der Referenzrahmen gerade nicht „anwesend“ scheint.</w:t>
      </w:r>
      <w:r w:rsidR="00947805">
        <w:rPr>
          <w:rStyle w:val="Funotenzeichen"/>
        </w:rPr>
        <w:footnoteReference w:id="28"/>
      </w:r>
      <w:r w:rsidR="004A270C">
        <w:t xml:space="preserve"> </w:t>
      </w:r>
      <w:r w:rsidR="004A270C" w:rsidRPr="004A270C">
        <w:t xml:space="preserve"> </w:t>
      </w:r>
    </w:p>
    <w:p w:rsidR="00515FF1" w:rsidRDefault="00515FF1">
      <w:pPr>
        <w:rPr>
          <w:b/>
        </w:rPr>
      </w:pPr>
      <w:r>
        <w:rPr>
          <w:b/>
        </w:rPr>
        <w:t>Forschungsdiskussion</w:t>
      </w:r>
    </w:p>
    <w:p w:rsidR="005179E6" w:rsidRPr="00B51B4A" w:rsidRDefault="001D7C98" w:rsidP="005179E6">
      <w:r>
        <w:t xml:space="preserve">M. Wildt </w:t>
      </w:r>
      <w:r w:rsidR="00515FF1">
        <w:t xml:space="preserve">nimmt Stellung gegen </w:t>
      </w:r>
      <w:r w:rsidR="00A149FB" w:rsidRPr="00515FF1">
        <w:t>Mommsens</w:t>
      </w:r>
      <w:r w:rsidR="00515FF1">
        <w:t xml:space="preserve"> Interpretation</w:t>
      </w:r>
      <w:r w:rsidR="00A149FB" w:rsidRPr="00B51B4A">
        <w:t xml:space="preserve">, das NS-System </w:t>
      </w:r>
      <w:r w:rsidR="00515FF1">
        <w:t xml:space="preserve">habe </w:t>
      </w:r>
      <w:r w:rsidR="00A149FB" w:rsidRPr="00B51B4A">
        <w:t xml:space="preserve">sich in einem </w:t>
      </w:r>
      <w:r w:rsidR="00A149FB" w:rsidRPr="00951FDE">
        <w:t>„fortschreitenden Zerfall rationaler Zweck-Mittel-Relationen“</w:t>
      </w:r>
      <w:r w:rsidR="00A149FB" w:rsidRPr="00B51B4A">
        <w:t xml:space="preserve"> befunden, „Gesetzeshandeln“ sich in „Ad-hoc-Maßnahmen“ aufgelöst, statt „Rechtsordnung“ </w:t>
      </w:r>
      <w:r w:rsidR="00951FDE">
        <w:t xml:space="preserve">habe </w:t>
      </w:r>
      <w:r w:rsidR="00A149FB" w:rsidRPr="00B51B4A">
        <w:t xml:space="preserve">„Willkür unkontrollierter Machthaber“ </w:t>
      </w:r>
      <w:r w:rsidR="00515FF1">
        <w:t>geherrscht</w:t>
      </w:r>
      <w:r w:rsidR="00951FDE">
        <w:t>.</w:t>
      </w:r>
      <w:r w:rsidR="00A149FB" w:rsidRPr="00B51B4A">
        <w:t xml:space="preserve"> „Diese Nicht-Struktur, diese tumorhafte Veränderung bestehender politischer Gebilde, endete mit Notwendigkeit in der Ausübung von Gewalt als Selbstzweck.“</w:t>
      </w:r>
      <w:r w:rsidR="00515FF1" w:rsidRPr="00515FF1">
        <w:rPr>
          <w:rStyle w:val="Funotenzeichen"/>
        </w:rPr>
        <w:t xml:space="preserve"> </w:t>
      </w:r>
      <w:r w:rsidR="00515FF1">
        <w:rPr>
          <w:rStyle w:val="Funotenzeichen"/>
        </w:rPr>
        <w:footnoteReference w:id="29"/>
      </w:r>
      <w:r w:rsidR="00A149FB" w:rsidRPr="00B51B4A">
        <w:t xml:space="preserve"> </w:t>
      </w:r>
      <w:r w:rsidR="00951FDE">
        <w:t>Er setzt dagegen zwar nicht die „Ordnung des Terrors“ (</w:t>
      </w:r>
      <w:proofErr w:type="spellStart"/>
      <w:r w:rsidR="00951FDE">
        <w:t>Sofsky</w:t>
      </w:r>
      <w:proofErr w:type="spellEnd"/>
      <w:r w:rsidR="00951FDE">
        <w:t xml:space="preserve">), </w:t>
      </w:r>
      <w:r w:rsidR="00A631FE">
        <w:t xml:space="preserve">verweist aber mit Hinweis auf </w:t>
      </w:r>
      <w:r w:rsidR="007154CA">
        <w:t xml:space="preserve">Zygmunt </w:t>
      </w:r>
      <w:r w:rsidR="00A149FB" w:rsidRPr="00A631FE">
        <w:t>Baumann</w:t>
      </w:r>
      <w:r w:rsidR="00A631FE" w:rsidRPr="00A631FE">
        <w:t xml:space="preserve"> darauf</w:t>
      </w:r>
      <w:r w:rsidR="00A149FB" w:rsidRPr="00A631FE">
        <w:t>, dass die moderne Bürokratie eben auch den Massenmord hervor</w:t>
      </w:r>
      <w:r w:rsidR="00A631FE">
        <w:t>ge</w:t>
      </w:r>
      <w:r w:rsidR="00A149FB" w:rsidRPr="00A631FE">
        <w:t>br</w:t>
      </w:r>
      <w:r w:rsidR="00A631FE">
        <w:t>acht</w:t>
      </w:r>
      <w:r w:rsidR="00A631FE" w:rsidRPr="00A631FE">
        <w:t xml:space="preserve"> habe</w:t>
      </w:r>
      <w:r w:rsidR="00A149FB" w:rsidRPr="00A631FE">
        <w:t xml:space="preserve">. </w:t>
      </w:r>
      <w:r w:rsidR="008A6BCE">
        <w:t xml:space="preserve">Die Irrationalität und Diversität der Machtstrukturen, die Mommsen betont, ließen sich mit der Zielgerichtetheit und „Effektivität“ des Mordprozesses vereinbaren. </w:t>
      </w:r>
      <w:r w:rsidR="00A631FE" w:rsidRPr="00A631FE">
        <w:t xml:space="preserve">Die moderne Bürokratie </w:t>
      </w:r>
      <w:r w:rsidR="00A631FE">
        <w:t xml:space="preserve">ist </w:t>
      </w:r>
      <w:r w:rsidR="00A631FE" w:rsidRPr="00A631FE">
        <w:t>vielfältig besetzbar, die Modernität lieg</w:t>
      </w:r>
      <w:r w:rsidR="00A631FE">
        <w:t>t</w:t>
      </w:r>
      <w:r w:rsidR="00A631FE" w:rsidRPr="00A631FE">
        <w:t xml:space="preserve"> gerade in der Funktionalität der Bürokratie und nicht in deren Ethik. Paul z</w:t>
      </w:r>
      <w:r w:rsidR="00A149FB" w:rsidRPr="00A631FE">
        <w:t xml:space="preserve">itiert </w:t>
      </w:r>
      <w:r w:rsidR="00A631FE" w:rsidRPr="00A631FE">
        <w:t xml:space="preserve">in diesem Zusammenhang </w:t>
      </w:r>
      <w:r w:rsidR="00A149FB" w:rsidRPr="00A631FE">
        <w:t>Hilberg: „Der Unterschied war lediglich ein</w:t>
      </w:r>
      <w:r w:rsidR="00A149FB" w:rsidRPr="00B51B4A">
        <w:rPr>
          <w:b/>
        </w:rPr>
        <w:t xml:space="preserve"> </w:t>
      </w:r>
      <w:r w:rsidR="00A149FB" w:rsidRPr="00A631FE">
        <w:t>funktioneller. Die</w:t>
      </w:r>
      <w:r w:rsidR="00A149FB" w:rsidRPr="00B51B4A">
        <w:rPr>
          <w:b/>
        </w:rPr>
        <w:t xml:space="preserve"> </w:t>
      </w:r>
      <w:r w:rsidR="00A149FB" w:rsidRPr="00A631FE">
        <w:t>Vernichtungsmaschine war in der Tat nichts anderes als eine besondere Rolle der organisierten Gesellschaft.“</w:t>
      </w:r>
      <w:r w:rsidR="00A149FB" w:rsidRPr="00B51B4A">
        <w:t xml:space="preserve"> </w:t>
      </w:r>
      <w:r w:rsidR="00F80CBD" w:rsidRPr="00B51B4A">
        <w:t xml:space="preserve">„Jedes Mitglied der Ordnungspolizei konnte Aufseher eines Ghettos … sein. Jeder Jurist des Reichssicherheitshauptamtes kam dafür in Frage, die Leitung einer Einsatzgruppe zu übernehmen … Mit anderen Worten, alle notwendigen Operationen wurden  mit dem jeweils verfügbaren Personal durchgeführt. Wo immer </w:t>
      </w:r>
      <w:r w:rsidR="008A6BCE">
        <w:t>m</w:t>
      </w:r>
      <w:r w:rsidR="00F80CBD" w:rsidRPr="00B51B4A">
        <w:t>an den Trennungsstrich der aktiven Teilnahme zu ziehen gedenkt, stets stellt die Vernichtungsmaschinerie einen bemerkenswerten Querschnitt der deutschen Bevölkerung dar.“</w:t>
      </w:r>
      <w:r w:rsidR="008A6BCE">
        <w:rPr>
          <w:rStyle w:val="Funotenzeichen"/>
        </w:rPr>
        <w:footnoteReference w:id="30"/>
      </w:r>
      <w:r w:rsidR="008A6BCE" w:rsidRPr="00B51B4A">
        <w:t xml:space="preserve"> </w:t>
      </w:r>
      <w:r w:rsidR="008A6BCE">
        <w:t>Die „Banalität des Bösen“ (Arendt) darf nicht den Eindruck der Interesse- oder Willenslosigkeit, des puren Gehorsams hervorrufen. Arendts Schilderung der</w:t>
      </w:r>
      <w:r w:rsidR="00E54E6E" w:rsidRPr="00B51B4A">
        <w:t xml:space="preserve"> banalen Bürokraten vom Typ Eichmann </w:t>
      </w:r>
      <w:r w:rsidR="008A6BCE">
        <w:t>sei</w:t>
      </w:r>
      <w:r w:rsidR="00E54E6E" w:rsidRPr="00B51B4A">
        <w:t xml:space="preserve"> vor allem von israelischer Seite vorgeworfen</w:t>
      </w:r>
      <w:r w:rsidR="008A6BCE">
        <w:t xml:space="preserve"> worden</w:t>
      </w:r>
      <w:r w:rsidR="00E54E6E" w:rsidRPr="00B51B4A">
        <w:t xml:space="preserve">, dass sie den </w:t>
      </w:r>
      <w:r w:rsidR="00E54E6E" w:rsidRPr="008A6BCE">
        <w:t>Tat- und Organisationswillen der „Schreibtischtäter“,</w:t>
      </w:r>
      <w:r w:rsidR="00E54E6E" w:rsidRPr="00B51B4A">
        <w:t xml:space="preserve"> d</w:t>
      </w:r>
      <w:r w:rsidR="007154CA">
        <w:t>eren</w:t>
      </w:r>
      <w:r w:rsidR="00E54E6E" w:rsidRPr="00B51B4A">
        <w:t xml:space="preserve"> subjektive</w:t>
      </w:r>
      <w:r w:rsidR="007154CA">
        <w:t>s</w:t>
      </w:r>
      <w:r w:rsidR="00E54E6E" w:rsidRPr="00B51B4A">
        <w:t xml:space="preserve"> Engagement</w:t>
      </w:r>
      <w:r w:rsidR="007154CA" w:rsidRPr="007154CA">
        <w:t xml:space="preserve"> </w:t>
      </w:r>
      <w:r w:rsidR="007154CA" w:rsidRPr="008A6BCE">
        <w:t>unterschätze</w:t>
      </w:r>
      <w:r w:rsidR="00E54E6E" w:rsidRPr="00B51B4A">
        <w:t>, das sich mit bürokratischem Eifer und Gehorsam paarte</w:t>
      </w:r>
      <w:r w:rsidR="008A6BCE">
        <w:t>.</w:t>
      </w:r>
      <w:r w:rsidR="00E54E6E" w:rsidRPr="00B51B4A">
        <w:t xml:space="preserve"> </w:t>
      </w:r>
      <w:r w:rsidR="008A6BCE">
        <w:t>Interviews mit Tätern wie die von</w:t>
      </w:r>
      <w:r w:rsidR="00E54E6E" w:rsidRPr="00B51B4A">
        <w:t xml:space="preserve"> </w:t>
      </w:r>
      <w:proofErr w:type="spellStart"/>
      <w:r w:rsidR="00E54E6E" w:rsidRPr="00B51B4A">
        <w:t>Segev</w:t>
      </w:r>
      <w:proofErr w:type="spellEnd"/>
      <w:r w:rsidR="00E54E6E" w:rsidRPr="00B51B4A">
        <w:t xml:space="preserve"> </w:t>
      </w:r>
      <w:r w:rsidR="007154CA">
        <w:t xml:space="preserve">würden </w:t>
      </w:r>
      <w:r w:rsidR="00E54E6E" w:rsidRPr="00B51B4A">
        <w:t xml:space="preserve">das innere Einverständnis mit und </w:t>
      </w:r>
      <w:r w:rsidR="008A6BCE">
        <w:t xml:space="preserve">die </w:t>
      </w:r>
      <w:r w:rsidR="00E54E6E" w:rsidRPr="00B51B4A">
        <w:t>frühe aktive Teilnahme am NS-System, jedenfalls bei Tätern in leitenden Stellungen wie KZ-Kommandanten</w:t>
      </w:r>
      <w:r w:rsidR="007154CA" w:rsidRPr="007154CA">
        <w:t xml:space="preserve"> </w:t>
      </w:r>
      <w:r w:rsidR="007154CA">
        <w:t>zeigen</w:t>
      </w:r>
      <w:r w:rsidR="00E54E6E" w:rsidRPr="00B51B4A">
        <w:t>.</w:t>
      </w:r>
      <w:r w:rsidR="007154CA">
        <w:rPr>
          <w:rStyle w:val="Funotenzeichen"/>
        </w:rPr>
        <w:footnoteReference w:id="31"/>
      </w:r>
      <w:r w:rsidR="00E54E6E" w:rsidRPr="00B51B4A">
        <w:t xml:space="preserve"> </w:t>
      </w:r>
      <w:r w:rsidR="008D3490">
        <w:br/>
        <w:t xml:space="preserve">Veröffentlichungen von </w:t>
      </w:r>
      <w:proofErr w:type="spellStart"/>
      <w:r w:rsidR="008D3490">
        <w:t>Barberowski</w:t>
      </w:r>
      <w:proofErr w:type="spellEnd"/>
      <w:r w:rsidR="008D3490">
        <w:t xml:space="preserve"> und Snyder haben den Begriff des „Gewaltraumes“ in die Diskussion gebracht, der ähnlich wie bei Mommsen die Abwesenheit staatlicher Kontrolle und Ordnung impliziert.</w:t>
      </w:r>
      <w:r w:rsidR="008D3490">
        <w:rPr>
          <w:rStyle w:val="Funotenzeichen"/>
        </w:rPr>
        <w:footnoteReference w:id="32"/>
      </w:r>
      <w:r w:rsidR="008D3490">
        <w:t xml:space="preserve"> Die bereits zitierten Forschungen zum Massenmord in den Ostgebieten sprechen jedoch dagegen. Selbst die Räume, in denen zügellose Gewalt angewandt wurde, waren von Zivil- oder Mi</w:t>
      </w:r>
      <w:r>
        <w:t>l</w:t>
      </w:r>
      <w:r w:rsidR="008D3490">
        <w:t xml:space="preserve">itärverwaltung durchzogen. </w:t>
      </w:r>
      <w:proofErr w:type="spellStart"/>
      <w:r w:rsidR="008D3490">
        <w:t>Knöbl</w:t>
      </w:r>
      <w:proofErr w:type="spellEnd"/>
      <w:r w:rsidR="008D3490">
        <w:t xml:space="preserve"> weist darauf hin, dass Gewalträume nie nur </w:t>
      </w:r>
      <w:r w:rsidR="008D3490">
        <w:lastRenderedPageBreak/>
        <w:t xml:space="preserve">Gewalträume sind, sondern in ihnen </w:t>
      </w:r>
      <w:r>
        <w:t xml:space="preserve">weiterhin </w:t>
      </w:r>
      <w:r w:rsidR="008D3490">
        <w:t>viele zivile Alltagshandlungen vollzogen werden</w:t>
      </w:r>
      <w:r>
        <w:t>.</w:t>
      </w:r>
      <w:r>
        <w:rPr>
          <w:rStyle w:val="Funotenzeichen"/>
        </w:rPr>
        <w:footnoteReference w:id="33"/>
      </w:r>
      <w:r w:rsidR="008D3490">
        <w:t xml:space="preserve"> </w:t>
      </w:r>
      <w:r w:rsidR="00F80CBD" w:rsidRPr="00B51B4A">
        <w:br/>
      </w:r>
      <w:r w:rsidR="004463E1">
        <w:t>A</w:t>
      </w:r>
      <w:r w:rsidR="00C85D97" w:rsidRPr="00B51B4A">
        <w:t xml:space="preserve">uf Grund von Auswertung von </w:t>
      </w:r>
      <w:r w:rsidR="00C85D97" w:rsidRPr="004463E1">
        <w:t>Prozessmaterialien</w:t>
      </w:r>
      <w:r w:rsidR="004463E1" w:rsidRPr="004463E1">
        <w:t xml:space="preserve"> </w:t>
      </w:r>
      <w:r w:rsidR="004463E1" w:rsidRPr="00B51B4A">
        <w:t>unterscheide</w:t>
      </w:r>
      <w:r w:rsidR="004463E1">
        <w:t>t</w:t>
      </w:r>
      <w:r w:rsidR="00C85D97" w:rsidRPr="00B51B4A">
        <w:t xml:space="preserve"> Jäger „befehlslose Verbrechen (</w:t>
      </w:r>
      <w:proofErr w:type="spellStart"/>
      <w:r w:rsidR="00C85D97" w:rsidRPr="00B51B4A">
        <w:t>Exzeßtaten</w:t>
      </w:r>
      <w:proofErr w:type="spellEnd"/>
      <w:r w:rsidR="00C85D97" w:rsidRPr="00B51B4A">
        <w:t>)“, „relativ selbständige Formen der Befehlsausführung (Initiativtaten)“, die jeweils ca. 20% der Täter stellen würden, sowie „unselbständige Formen der Ausführung … (Befehlstaten)“, die ca. 60% stellen würden. Jäger stellt auch fest, dass kein Täter wegen Verweigerung der Teilnahme an Aktionen nach verbrecherischen Befehlen „Schaden an Leib oder Leben genommen“ hat.</w:t>
      </w:r>
      <w:r w:rsidR="004463E1">
        <w:rPr>
          <w:rStyle w:val="Funotenzeichen"/>
        </w:rPr>
        <w:footnoteReference w:id="34"/>
      </w:r>
      <w:r w:rsidR="00C85D97" w:rsidRPr="00B51B4A">
        <w:t xml:space="preserve">  </w:t>
      </w:r>
      <w:r w:rsidR="001D210C" w:rsidRPr="00B51B4A">
        <w:br/>
      </w:r>
      <w:r w:rsidR="00DB6222">
        <w:t>Sozialpsychologische Forschungen haben die Hypothese bestärkt, dass autoritäre Rahmenbedingungen Handlungszwänge schaffen, denen di</w:t>
      </w:r>
      <w:r w:rsidR="00EB1390">
        <w:t xml:space="preserve">e Mehrzahl der ihnen unterworfenen Personen folgt unabhängig von ihren </w:t>
      </w:r>
      <w:r w:rsidR="00F80CBD" w:rsidRPr="00DB6222">
        <w:t>Persönlichkeitsmerkmale</w:t>
      </w:r>
      <w:r w:rsidR="00EB1390">
        <w:t>n. Insbesondere das</w:t>
      </w:r>
      <w:r w:rsidR="00F80CBD" w:rsidRPr="00DB6222">
        <w:t xml:space="preserve"> </w:t>
      </w:r>
      <w:proofErr w:type="spellStart"/>
      <w:r w:rsidR="00F80CBD" w:rsidRPr="00DB6222">
        <w:t>Milgram</w:t>
      </w:r>
      <w:proofErr w:type="spellEnd"/>
      <w:r w:rsidR="00F80CBD" w:rsidRPr="00DB6222">
        <w:t xml:space="preserve">-Experiment </w:t>
      </w:r>
      <w:r w:rsidR="00EB1390">
        <w:t>zeigte „Gehorsams“-</w:t>
      </w:r>
      <w:r w:rsidR="00F80CBD" w:rsidRPr="00DB6222">
        <w:t>Verhalten der Versuchsperson</w:t>
      </w:r>
      <w:r w:rsidR="00EB1390">
        <w:t xml:space="preserve"> unabhängig von Persönlichkeitsmerkmalen wie </w:t>
      </w:r>
      <w:r w:rsidR="00F80CBD" w:rsidRPr="00DB6222">
        <w:t>z.B. Aggressivität, Autonomie, Eigenverantwortlichkeit</w:t>
      </w:r>
      <w:r w:rsidR="00EB1390">
        <w:t xml:space="preserve">; </w:t>
      </w:r>
      <w:r w:rsidR="00F80CBD" w:rsidRPr="00DB6222">
        <w:t xml:space="preserve">ebenso </w:t>
      </w:r>
      <w:r w:rsidR="00EB1390">
        <w:t xml:space="preserve">stellten </w:t>
      </w:r>
      <w:r w:rsidR="00F80CBD" w:rsidRPr="00DB6222">
        <w:t xml:space="preserve">Geschlecht, Alter </w:t>
      </w:r>
      <w:r w:rsidR="00EB1390">
        <w:t xml:space="preserve">und </w:t>
      </w:r>
      <w:r w:rsidR="00F80CBD" w:rsidRPr="00DB6222">
        <w:t>Bildung</w:t>
      </w:r>
      <w:r w:rsidR="00EB1390">
        <w:t xml:space="preserve"> keine bedeutenden Einflussfaktoren dar</w:t>
      </w:r>
      <w:r w:rsidR="00F80CBD" w:rsidRPr="00DB6222">
        <w:t>.</w:t>
      </w:r>
      <w:r w:rsidR="002702B9">
        <w:rPr>
          <w:rStyle w:val="Funotenzeichen"/>
        </w:rPr>
        <w:footnoteReference w:id="35"/>
      </w:r>
      <w:r w:rsidR="00F80CBD" w:rsidRPr="00DB6222">
        <w:br/>
      </w:r>
      <w:r w:rsidR="00EB1390">
        <w:t xml:space="preserve">Diese Ergebnisse leiteten </w:t>
      </w:r>
      <w:r w:rsidR="00401EFB">
        <w:t>in</w:t>
      </w:r>
      <w:r w:rsidR="004120E4">
        <w:t xml:space="preserve"> </w:t>
      </w:r>
      <w:r w:rsidR="00EB1390">
        <w:t xml:space="preserve"> den 1990er Jahren eine Phase der </w:t>
      </w:r>
      <w:r w:rsidR="00C85D97" w:rsidRPr="00B51B4A">
        <w:t>„</w:t>
      </w:r>
      <w:r w:rsidR="00C85D97" w:rsidRPr="00EB1390">
        <w:t>dichten Beschreibung</w:t>
      </w:r>
      <w:r w:rsidR="00C85D97" w:rsidRPr="00B51B4A">
        <w:t xml:space="preserve">“ </w:t>
      </w:r>
      <w:r w:rsidR="00EB1390">
        <w:t xml:space="preserve">in der historischen Wissenschaft ein, für die u.a. </w:t>
      </w:r>
      <w:r w:rsidR="00C85D97" w:rsidRPr="00EB1390">
        <w:t>Browning</w:t>
      </w:r>
      <w:r w:rsidR="00EB1390">
        <w:t xml:space="preserve"> steht</w:t>
      </w:r>
      <w:r w:rsidR="00C85D97" w:rsidRPr="00B51B4A">
        <w:t xml:space="preserve">, „der institutionell-situative Rahmenbedingungen ebenso berücksichtigte wie individuelle </w:t>
      </w:r>
      <w:r w:rsidR="00C85D97" w:rsidRPr="00EB1390">
        <w:t>Täterdispositionen und –</w:t>
      </w:r>
      <w:proofErr w:type="spellStart"/>
      <w:r w:rsidR="00C85D97" w:rsidRPr="00EB1390">
        <w:t>motive</w:t>
      </w:r>
      <w:proofErr w:type="spellEnd"/>
      <w:r w:rsidR="00C85D97" w:rsidRPr="00EB1390">
        <w:t>“.</w:t>
      </w:r>
      <w:r w:rsidR="00C85D97" w:rsidRPr="00B51B4A">
        <w:rPr>
          <w:b/>
        </w:rPr>
        <w:t xml:space="preserve"> </w:t>
      </w:r>
      <w:r w:rsidR="00C85D97" w:rsidRPr="00EB1390">
        <w:t xml:space="preserve">Nicht speziell Antisemitismus, sondern </w:t>
      </w:r>
      <w:r w:rsidR="00EB1390">
        <w:t xml:space="preserve">das </w:t>
      </w:r>
      <w:r w:rsidR="00C85D97" w:rsidRPr="00EB1390">
        <w:t xml:space="preserve">Klima legitimierter Gewaltanwendung </w:t>
      </w:r>
      <w:r w:rsidR="009D04EF">
        <w:t xml:space="preserve">habe </w:t>
      </w:r>
      <w:r w:rsidR="009D04EF" w:rsidRPr="00EB1390">
        <w:t xml:space="preserve">Gruppenprozesse </w:t>
      </w:r>
      <w:r w:rsidR="00C85D97" w:rsidRPr="00EB1390">
        <w:t xml:space="preserve">konditioniert und enthemmt, die aus „normalen Menschen“ „brutale Mörder“ </w:t>
      </w:r>
      <w:r w:rsidR="009D04EF">
        <w:t>ge</w:t>
      </w:r>
      <w:r w:rsidR="00C85D97" w:rsidRPr="00EB1390">
        <w:t>mach</w:t>
      </w:r>
      <w:r w:rsidR="00EB1390">
        <w:t>t</w:t>
      </w:r>
      <w:r w:rsidR="009D04EF">
        <w:t xml:space="preserve"> hätt</w:t>
      </w:r>
      <w:r w:rsidR="00C85D97" w:rsidRPr="00EB1390">
        <w:t xml:space="preserve">en. </w:t>
      </w:r>
      <w:r w:rsidR="00EB1390">
        <w:t>D</w:t>
      </w:r>
      <w:r w:rsidR="00245EDE">
        <w:t>iese Analyse habe</w:t>
      </w:r>
      <w:r w:rsidR="00EB1390">
        <w:t xml:space="preserve"> Bro</w:t>
      </w:r>
      <w:r w:rsidR="00BF1C25">
        <w:t>w</w:t>
      </w:r>
      <w:r w:rsidR="00EB1390">
        <w:t xml:space="preserve">ning zur </w:t>
      </w:r>
      <w:r w:rsidR="00C85D97" w:rsidRPr="00EB1390">
        <w:t>„Annahme der ständigen raum- und zeitlosen Potentialität der Barbarei</w:t>
      </w:r>
      <w:r w:rsidR="00245EDE">
        <w:t>“</w:t>
      </w:r>
      <w:r w:rsidR="00245EDE" w:rsidRPr="00245EDE">
        <w:t xml:space="preserve"> </w:t>
      </w:r>
      <w:r w:rsidR="00245EDE">
        <w:t>geführte</w:t>
      </w:r>
      <w:r w:rsidR="00C85D97" w:rsidRPr="00EB1390">
        <w:t>.</w:t>
      </w:r>
      <w:r w:rsidR="00EB1390">
        <w:rPr>
          <w:rStyle w:val="Funotenzeichen"/>
        </w:rPr>
        <w:footnoteReference w:id="36"/>
      </w:r>
      <w:r w:rsidR="00C85D97" w:rsidRPr="00B51B4A">
        <w:t xml:space="preserve"> </w:t>
      </w:r>
      <w:r w:rsidR="00EB1390">
        <w:br/>
      </w:r>
      <w:r w:rsidR="00C85D97" w:rsidRPr="00B51B4A">
        <w:t xml:space="preserve">Weitere Untersuchungen über Polizeibataillone </w:t>
      </w:r>
      <w:proofErr w:type="spellStart"/>
      <w:r w:rsidR="00C85D97" w:rsidRPr="00B51B4A">
        <w:t>u.a</w:t>
      </w:r>
      <w:proofErr w:type="spellEnd"/>
      <w:r w:rsidR="00C85D97" w:rsidRPr="00B51B4A">
        <w:t xml:space="preserve"> von </w:t>
      </w:r>
      <w:proofErr w:type="spellStart"/>
      <w:r w:rsidR="00C85D97" w:rsidRPr="00BF1C25">
        <w:t>Mallman</w:t>
      </w:r>
      <w:proofErr w:type="spellEnd"/>
      <w:r w:rsidR="00C85D97" w:rsidRPr="00BF1C25">
        <w:t xml:space="preserve"> </w:t>
      </w:r>
      <w:r w:rsidR="009D04EF">
        <w:t>hätten ge</w:t>
      </w:r>
      <w:r w:rsidR="00C85D97" w:rsidRPr="00BF1C25">
        <w:t>zeig</w:t>
      </w:r>
      <w:r w:rsidR="009D04EF">
        <w:t>t</w:t>
      </w:r>
      <w:r w:rsidR="00C85D97" w:rsidRPr="00BF1C25">
        <w:t xml:space="preserve">, dass </w:t>
      </w:r>
      <w:r w:rsidR="00BF1C25" w:rsidRPr="00BF1C25">
        <w:t xml:space="preserve">in diesen Einheiten </w:t>
      </w:r>
      <w:r w:rsidR="00C85D97" w:rsidRPr="00BF1C25">
        <w:t>die Mehrheit keine Karriere-Nationalsozialisten,</w:t>
      </w:r>
      <w:r w:rsidR="00C85D97" w:rsidRPr="00B51B4A">
        <w:t xml:space="preserve"> sondern allenfalls </w:t>
      </w:r>
      <w:r w:rsidR="00C85D97" w:rsidRPr="00BF1C25">
        <w:t xml:space="preserve">“langjährige </w:t>
      </w:r>
      <w:proofErr w:type="spellStart"/>
      <w:r w:rsidR="00C85D97" w:rsidRPr="00BF1C25">
        <w:t>Laufbahnpolizisten“</w:t>
      </w:r>
      <w:r w:rsidR="009D04EF">
        <w:t>´gewesen</w:t>
      </w:r>
      <w:proofErr w:type="spellEnd"/>
      <w:r w:rsidR="009D04EF">
        <w:t xml:space="preserve"> seien</w:t>
      </w:r>
      <w:r w:rsidR="00C85D97" w:rsidRPr="00B51B4A">
        <w:t>.</w:t>
      </w:r>
      <w:r w:rsidR="00BF1C25">
        <w:rPr>
          <w:rStyle w:val="Funotenzeichen"/>
        </w:rPr>
        <w:footnoteReference w:id="37"/>
      </w:r>
      <w:r w:rsidR="00C85D97" w:rsidRPr="00B51B4A">
        <w:t xml:space="preserve"> </w:t>
      </w:r>
      <w:r w:rsidR="00BF65FB">
        <w:t xml:space="preserve">Persönliche Brutalitäten und Exzesse mögen in diesen Einheiten seltener gewesen als z.B. bei der Gewalt-geübten </w:t>
      </w:r>
      <w:r w:rsidR="00BF65FB" w:rsidRPr="00B51B4A">
        <w:t>Sicherheitspolizei</w:t>
      </w:r>
      <w:r w:rsidR="00BF65FB">
        <w:t xml:space="preserve"> im Osten.</w:t>
      </w:r>
      <w:r w:rsidR="00BF65FB" w:rsidRPr="00B51B4A">
        <w:t xml:space="preserve"> </w:t>
      </w:r>
      <w:proofErr w:type="spellStart"/>
      <w:r w:rsidR="00BF65FB">
        <w:t>Mallmann</w:t>
      </w:r>
      <w:proofErr w:type="spellEnd"/>
      <w:r w:rsidR="00BF65FB">
        <w:t xml:space="preserve"> b</w:t>
      </w:r>
      <w:r w:rsidR="00BF65FB" w:rsidRPr="00B51B4A">
        <w:t>eschreibt schon vor 1941 viele Beispiele von willkürlichem, ja lustvollem Morden</w:t>
      </w:r>
      <w:r w:rsidR="00BF65FB">
        <w:t>,</w:t>
      </w:r>
      <w:r w:rsidR="00BF65FB" w:rsidRPr="00B51B4A">
        <w:t xml:space="preserve"> </w:t>
      </w:r>
      <w:r w:rsidR="00BF65FB">
        <w:t>o</w:t>
      </w:r>
      <w:r w:rsidR="00BF65FB" w:rsidRPr="00B51B4A">
        <w:t xml:space="preserve">ft </w:t>
      </w:r>
      <w:r w:rsidR="00BF65FB">
        <w:t xml:space="preserve">ausgeführt von einem </w:t>
      </w:r>
      <w:r w:rsidR="002765E3">
        <w:t xml:space="preserve">„harter Kern“ </w:t>
      </w:r>
      <w:proofErr w:type="gramStart"/>
      <w:r w:rsidR="002765E3">
        <w:t>der Mordbereiten</w:t>
      </w:r>
      <w:proofErr w:type="gramEnd"/>
      <w:r w:rsidR="00BF65FB" w:rsidRPr="00B51B4A">
        <w:t>.</w:t>
      </w:r>
      <w:r w:rsidR="00BF65FB">
        <w:rPr>
          <w:rStyle w:val="Funotenzeichen"/>
        </w:rPr>
        <w:footnoteReference w:id="38"/>
      </w:r>
      <w:r w:rsidR="00BF65FB" w:rsidRPr="00B51B4A">
        <w:t xml:space="preserve"> Die Vorgesetzten deckten </w:t>
      </w:r>
      <w:r w:rsidR="00BF65FB">
        <w:t xml:space="preserve">solche </w:t>
      </w:r>
      <w:r w:rsidR="00BF65FB" w:rsidRPr="00B51B4A">
        <w:t xml:space="preserve">Exzesse. Im Distrikt Krakau, den </w:t>
      </w:r>
      <w:proofErr w:type="spellStart"/>
      <w:r w:rsidR="00BF65FB" w:rsidRPr="00B51B4A">
        <w:t>M</w:t>
      </w:r>
      <w:r w:rsidR="00BF65FB">
        <w:t>allmann</w:t>
      </w:r>
      <w:proofErr w:type="spellEnd"/>
      <w:r w:rsidR="00BF65FB" w:rsidRPr="00B51B4A">
        <w:t xml:space="preserve"> untersucht</w:t>
      </w:r>
      <w:r w:rsidR="00BF65FB">
        <w:t>e</w:t>
      </w:r>
      <w:r w:rsidR="00BF65FB" w:rsidRPr="00B51B4A">
        <w:t xml:space="preserve">, </w:t>
      </w:r>
      <w:r w:rsidR="00BF65FB">
        <w:t xml:space="preserve">stieß er </w:t>
      </w:r>
      <w:r w:rsidR="00BF65FB" w:rsidRPr="00B51B4A">
        <w:t xml:space="preserve">nur </w:t>
      </w:r>
      <w:r w:rsidR="00BF65FB">
        <w:t xml:space="preserve">auf </w:t>
      </w:r>
      <w:r w:rsidR="00BF65FB" w:rsidRPr="00B51B4A">
        <w:t>ein</w:t>
      </w:r>
      <w:r w:rsidR="00BF65FB">
        <w:t>en</w:t>
      </w:r>
      <w:r w:rsidR="00BF65FB" w:rsidRPr="00B51B4A">
        <w:t xml:space="preserve"> Fall von </w:t>
      </w:r>
      <w:r w:rsidR="00BF65FB">
        <w:t xml:space="preserve">Verweigerung. Er identifiziert allerdings </w:t>
      </w:r>
      <w:r w:rsidR="00BF65FB" w:rsidRPr="00B51B4A">
        <w:t>kleine Gruppe</w:t>
      </w:r>
      <w:r w:rsidR="00BF65FB">
        <w:t>n</w:t>
      </w:r>
      <w:r w:rsidR="00BF65FB" w:rsidRPr="00B51B4A">
        <w:t xml:space="preserve"> von Distanzierten, die nur das Befohlene taten, aber nicht mehr.</w:t>
      </w:r>
      <w:r w:rsidR="00BF65FB">
        <w:t xml:space="preserve"> </w:t>
      </w:r>
      <w:r w:rsidR="00C85D97" w:rsidRPr="00BF1C25">
        <w:t>Musial</w:t>
      </w:r>
      <w:r w:rsidR="00BF1C25" w:rsidRPr="00BF1C25">
        <w:t xml:space="preserve"> in seiner Untersuchung zur d</w:t>
      </w:r>
      <w:r w:rsidR="00C85D97" w:rsidRPr="00BF1C25">
        <w:t>eutsche</w:t>
      </w:r>
      <w:r w:rsidR="00BF1C25" w:rsidRPr="00BF1C25">
        <w:t>n</w:t>
      </w:r>
      <w:r w:rsidR="00C85D97" w:rsidRPr="00BF1C25">
        <w:t xml:space="preserve"> Zivilverwaltung im G</w:t>
      </w:r>
      <w:r w:rsidR="00BF1C25" w:rsidRPr="00BF1C25">
        <w:t>eneralgouvernement</w:t>
      </w:r>
      <w:r w:rsidR="00C85D97" w:rsidRPr="00BF1C25">
        <w:t xml:space="preserve"> zeigt </w:t>
      </w:r>
      <w:r w:rsidR="006E241C">
        <w:t xml:space="preserve">ebenfalls </w:t>
      </w:r>
      <w:r w:rsidR="00BF1C25" w:rsidRPr="00BF1C25">
        <w:t>k</w:t>
      </w:r>
      <w:r w:rsidR="00C85D97" w:rsidRPr="00BF1C25">
        <w:t>eine Karriere</w:t>
      </w:r>
      <w:r w:rsidR="00BF1C25" w:rsidRPr="00BF1C25">
        <w:t>typen</w:t>
      </w:r>
      <w:r w:rsidR="00C85D97" w:rsidRPr="00BF1C25">
        <w:t>, sondern eher gescheiterte N</w:t>
      </w:r>
      <w:r w:rsidR="00BF1C25" w:rsidRPr="00BF1C25">
        <w:t>ationalsozialisten</w:t>
      </w:r>
      <w:r w:rsidR="00C85D97" w:rsidRPr="00BF1C25">
        <w:t>, die im Osten Macht bekamen und sich hier austobten.</w:t>
      </w:r>
      <w:r w:rsidR="005179E6" w:rsidRPr="005179E6">
        <w:rPr>
          <w:rStyle w:val="Funotenzeichen"/>
        </w:rPr>
        <w:t xml:space="preserve"> </w:t>
      </w:r>
      <w:r w:rsidR="005179E6">
        <w:rPr>
          <w:rStyle w:val="Funotenzeichen"/>
        </w:rPr>
        <w:footnoteReference w:id="39"/>
      </w:r>
      <w:r w:rsidR="005179E6">
        <w:t xml:space="preserve"> Diese Unterschiede haben zwar Begleitumstände des Mordens variiert, vielleicht Zufall und Willkür gesteigert oder eingeschränkt, die Zielerfüllung aber nicht behindert.</w:t>
      </w:r>
    </w:p>
    <w:p w:rsidR="00CE18C0" w:rsidRDefault="00B35553">
      <w:pPr>
        <w:rPr>
          <w:b/>
        </w:rPr>
      </w:pPr>
      <w:r>
        <w:rPr>
          <w:b/>
        </w:rPr>
        <w:t>St</w:t>
      </w:r>
      <w:r w:rsidRPr="00B35553">
        <w:rPr>
          <w:b/>
        </w:rPr>
        <w:t>ufen des Kontrollver</w:t>
      </w:r>
      <w:r>
        <w:rPr>
          <w:b/>
        </w:rPr>
        <w:t>l</w:t>
      </w:r>
      <w:r w:rsidRPr="00B35553">
        <w:rPr>
          <w:b/>
        </w:rPr>
        <w:t>ustes</w:t>
      </w:r>
    </w:p>
    <w:p w:rsidR="004B7053" w:rsidRPr="008460E4" w:rsidRDefault="00CE18C0" w:rsidP="004B7053">
      <w:r w:rsidRPr="00B51B4A">
        <w:lastRenderedPageBreak/>
        <w:t xml:space="preserve">Baumann </w:t>
      </w:r>
      <w:r w:rsidR="00B35553">
        <w:t xml:space="preserve">hält die Funktionsmaschinerie der modernen Zivilisation offenbar für so stark, dass er der modernen Bürokratie immanente Strategien gegen staatlich initiierte Massenvernichtung nicht zutraut. Stattdessen </w:t>
      </w:r>
      <w:r w:rsidRPr="00B51B4A">
        <w:t xml:space="preserve">setzt auf </w:t>
      </w:r>
      <w:r w:rsidR="00B35553">
        <w:t>die Ausbildung eines quasi unerschütterlich festen</w:t>
      </w:r>
      <w:r w:rsidR="000B6610" w:rsidRPr="000B6610">
        <w:t xml:space="preserve"> </w:t>
      </w:r>
      <w:r w:rsidR="000B6610" w:rsidRPr="00B51B4A">
        <w:t>moralische</w:t>
      </w:r>
      <w:r w:rsidR="000B6610">
        <w:t>n</w:t>
      </w:r>
      <w:r w:rsidR="000B6610" w:rsidRPr="00B51B4A">
        <w:t xml:space="preserve"> Urteilsvermögen</w:t>
      </w:r>
      <w:r w:rsidR="000B6610">
        <w:t>s</w:t>
      </w:r>
      <w:r w:rsidR="000B6610" w:rsidRPr="00B51B4A">
        <w:t xml:space="preserve"> des Individuums</w:t>
      </w:r>
      <w:r w:rsidR="00B35553">
        <w:t xml:space="preserve">, </w:t>
      </w:r>
      <w:r w:rsidR="000B6610">
        <w:t xml:space="preserve">das sich einer Fremdkontrolle nicht unterwirf. Historische ebenso wie sozial-psychologische Forschungen lassen uns allerdings nicht erwarten, </w:t>
      </w:r>
      <w:r w:rsidR="00B35553">
        <w:t xml:space="preserve">dass </w:t>
      </w:r>
      <w:r w:rsidR="000B6610">
        <w:t>sich eine</w:t>
      </w:r>
      <w:r w:rsidR="00B35553">
        <w:t xml:space="preserve"> solche</w:t>
      </w:r>
      <w:r w:rsidR="000B6610">
        <w:t xml:space="preserve"> widerständige Haltung</w:t>
      </w:r>
      <w:r w:rsidR="00B35553">
        <w:t xml:space="preserve"> als Massenbe</w:t>
      </w:r>
      <w:r w:rsidR="000B6610">
        <w:t>w</w:t>
      </w:r>
      <w:r w:rsidR="00B35553">
        <w:t>usstsein</w:t>
      </w:r>
      <w:r w:rsidR="000B6610">
        <w:t xml:space="preserve"> </w:t>
      </w:r>
      <w:r w:rsidR="00B35553">
        <w:t xml:space="preserve">in einer Zwangssituation (bzw. als Zwang angesehen </w:t>
      </w:r>
      <w:r w:rsidR="000B6610">
        <w:t>Situation</w:t>
      </w:r>
      <w:r w:rsidR="00B35553">
        <w:t xml:space="preserve">) </w:t>
      </w:r>
      <w:r w:rsidR="000B6610">
        <w:t>durchhalten wird, sondern aller Wahrscheinlichkeit nach individuell bleiben und damit die Ausnahme sein wird</w:t>
      </w:r>
      <w:r w:rsidRPr="00B51B4A">
        <w:t>.</w:t>
      </w:r>
      <w:r w:rsidR="00B71F06">
        <w:rPr>
          <w:rStyle w:val="Funotenzeichen"/>
        </w:rPr>
        <w:footnoteReference w:id="40"/>
      </w:r>
      <w:r w:rsidR="00B35553">
        <w:t xml:space="preserve"> </w:t>
      </w:r>
      <w:r w:rsidR="000B6610">
        <w:t xml:space="preserve">Eine human </w:t>
      </w:r>
      <w:r w:rsidR="000B6610" w:rsidRPr="000B6610">
        <w:t>ausgerichtete Erziehung</w:t>
      </w:r>
      <w:r w:rsidR="000B6610">
        <w:t xml:space="preserve"> bietet in einem einmal eingerichteten und sich selbst</w:t>
      </w:r>
      <w:r w:rsidR="00375917">
        <w:t xml:space="preserve"> legitimierenden Referenzrahmen </w:t>
      </w:r>
      <w:r w:rsidR="000B6610">
        <w:t xml:space="preserve">der Gewalt nur mehr </w:t>
      </w:r>
      <w:r w:rsidR="000B6610" w:rsidRPr="000B6610">
        <w:t>bedingt Schutz</w:t>
      </w:r>
      <w:r w:rsidR="000B6610">
        <w:t xml:space="preserve"> vor dem Mitmachen. Sie ist aber sicherlich eine wichtige Voraussetzung dafür, </w:t>
      </w:r>
      <w:r w:rsidR="004B7053" w:rsidRPr="008460E4">
        <w:t>d</w:t>
      </w:r>
      <w:r w:rsidR="000B6610" w:rsidRPr="008460E4">
        <w:t>em</w:t>
      </w:r>
      <w:r w:rsidR="004B7053" w:rsidRPr="008460E4">
        <w:t xml:space="preserve"> Abgleiten </w:t>
      </w:r>
      <w:r w:rsidR="000B6610" w:rsidRPr="008460E4">
        <w:t xml:space="preserve">oder der bewusste Steuerung </w:t>
      </w:r>
      <w:r w:rsidR="004B7053" w:rsidRPr="008460E4">
        <w:t>e</w:t>
      </w:r>
      <w:r w:rsidR="000B6610" w:rsidRPr="008460E4">
        <w:t>ine</w:t>
      </w:r>
      <w:r w:rsidR="004B7053" w:rsidRPr="008460E4">
        <w:t xml:space="preserve">s politisch-ideologischen Systems in </w:t>
      </w:r>
      <w:proofErr w:type="spellStart"/>
      <w:r w:rsidR="004B7053" w:rsidRPr="008460E4">
        <w:t>Entdemokratisierung</w:t>
      </w:r>
      <w:proofErr w:type="spellEnd"/>
      <w:r w:rsidR="004B7053" w:rsidRPr="008460E4">
        <w:t xml:space="preserve"> und dehumanisierende Ideologien</w:t>
      </w:r>
      <w:r w:rsidR="000B6610" w:rsidRPr="008460E4">
        <w:t xml:space="preserve"> entgegenzuwirken, denn die</w:t>
      </w:r>
      <w:r w:rsidR="004B7053" w:rsidRPr="008460E4">
        <w:t xml:space="preserve"> </w:t>
      </w:r>
      <w:r w:rsidR="000B6610" w:rsidRPr="008460E4">
        <w:t>m</w:t>
      </w:r>
      <w:r w:rsidR="004B7053" w:rsidRPr="008460E4">
        <w:t xml:space="preserve">oralische Einstellung schützt dann oft nicht mehr, wenn sich die umgebende Moral </w:t>
      </w:r>
      <w:r w:rsidR="000B6610" w:rsidRPr="008460E4">
        <w:t xml:space="preserve">bereits </w:t>
      </w:r>
      <w:r w:rsidR="004B7053" w:rsidRPr="008460E4">
        <w:t>fundamental geändert hat.</w:t>
      </w:r>
      <w:r w:rsidR="008460E4">
        <w:t xml:space="preserve"> </w:t>
      </w:r>
      <w:r w:rsidR="008460E4" w:rsidRPr="008460E4">
        <w:t xml:space="preserve">Insofern muss man Entstehungsgründe für die Gewalt, </w:t>
      </w:r>
      <w:r w:rsidR="008460E4">
        <w:t xml:space="preserve">mit </w:t>
      </w:r>
      <w:r w:rsidR="008460E4" w:rsidRPr="008460E4">
        <w:t>de</w:t>
      </w:r>
      <w:r w:rsidR="008460E4">
        <w:t>r</w:t>
      </w:r>
      <w:r w:rsidR="008460E4" w:rsidRPr="008460E4">
        <w:t xml:space="preserve"> </w:t>
      </w:r>
      <w:r w:rsidR="008460E4">
        <w:t xml:space="preserve">die </w:t>
      </w:r>
      <w:r w:rsidR="008460E4" w:rsidRPr="008460E4">
        <w:t xml:space="preserve">Einvernahme Österreichs durch den Nationalsozialismus </w:t>
      </w:r>
      <w:r w:rsidR="008460E4">
        <w:t xml:space="preserve">verbunden war </w:t>
      </w:r>
      <w:r w:rsidR="008460E4" w:rsidRPr="008460E4">
        <w:t xml:space="preserve">und </w:t>
      </w:r>
      <w:r w:rsidR="008460E4">
        <w:t xml:space="preserve">die </w:t>
      </w:r>
      <w:r w:rsidR="008460E4" w:rsidRPr="008460E4">
        <w:t xml:space="preserve">sich </w:t>
      </w:r>
      <w:r w:rsidR="008460E4">
        <w:t xml:space="preserve">nicht </w:t>
      </w:r>
      <w:r w:rsidR="008460E4" w:rsidRPr="008460E4">
        <w:t xml:space="preserve">auf </w:t>
      </w:r>
      <w:r w:rsidR="008460E4">
        <w:t>Organe</w:t>
      </w:r>
      <w:r w:rsidR="008460E4" w:rsidRPr="008460E4">
        <w:t xml:space="preserve"> der neuen Machthaber beschränkte, zumindest auch im Kontrollverlust humanitär</w:t>
      </w:r>
      <w:r w:rsidR="008460E4">
        <w:t>-de</w:t>
      </w:r>
      <w:r w:rsidR="008460E4" w:rsidRPr="008460E4">
        <w:t>mokratisc</w:t>
      </w:r>
      <w:r w:rsidR="008460E4">
        <w:t>h</w:t>
      </w:r>
      <w:r w:rsidR="008460E4" w:rsidRPr="008460E4">
        <w:t>er Einstellungen in der österreichischen Ges</w:t>
      </w:r>
      <w:r w:rsidR="008460E4">
        <w:t>e</w:t>
      </w:r>
      <w:r w:rsidR="008460E4" w:rsidRPr="008460E4">
        <w:t xml:space="preserve">llschaft vor </w:t>
      </w:r>
      <w:r w:rsidR="008460E4">
        <w:t xml:space="preserve">dem März 1938 </w:t>
      </w:r>
      <w:r w:rsidR="008460E4" w:rsidRPr="008460E4">
        <w:t xml:space="preserve">suchen. </w:t>
      </w:r>
    </w:p>
    <w:p w:rsidR="004819F5" w:rsidRDefault="004819F5"/>
    <w:p w:rsidR="004E7C30" w:rsidRPr="00B51B4A" w:rsidRDefault="004E7C30">
      <w:bookmarkStart w:id="0" w:name="_GoBack"/>
      <w:bookmarkEnd w:id="0"/>
    </w:p>
    <w:sectPr w:rsidR="004E7C30" w:rsidRPr="00B51B4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0D6" w:rsidRDefault="00AA00D6" w:rsidP="006C53C3">
      <w:pPr>
        <w:spacing w:after="0" w:line="240" w:lineRule="auto"/>
      </w:pPr>
      <w:r>
        <w:separator/>
      </w:r>
    </w:p>
  </w:endnote>
  <w:endnote w:type="continuationSeparator" w:id="0">
    <w:p w:rsidR="00AA00D6" w:rsidRDefault="00AA00D6" w:rsidP="006C5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0D6" w:rsidRDefault="00AA00D6" w:rsidP="006C53C3">
      <w:pPr>
        <w:spacing w:after="0" w:line="240" w:lineRule="auto"/>
      </w:pPr>
      <w:r>
        <w:separator/>
      </w:r>
    </w:p>
  </w:footnote>
  <w:footnote w:type="continuationSeparator" w:id="0">
    <w:p w:rsidR="00AA00D6" w:rsidRDefault="00AA00D6" w:rsidP="006C53C3">
      <w:pPr>
        <w:spacing w:after="0" w:line="240" w:lineRule="auto"/>
      </w:pPr>
      <w:r>
        <w:continuationSeparator/>
      </w:r>
    </w:p>
  </w:footnote>
  <w:footnote w:id="1">
    <w:p w:rsidR="00B56788" w:rsidRPr="00B56788" w:rsidRDefault="00B56788">
      <w:pPr>
        <w:pStyle w:val="Funotentext"/>
      </w:pPr>
      <w:r>
        <w:rPr>
          <w:rStyle w:val="Funotenzeichen"/>
        </w:rPr>
        <w:footnoteRef/>
      </w:r>
      <w:r w:rsidRPr="00B56788">
        <w:t xml:space="preserve"> </w:t>
      </w:r>
      <w:hyperlink r:id="rId1" w:history="1">
        <w:r w:rsidRPr="00B56788">
          <w:rPr>
            <w:rStyle w:val="Hyperlink"/>
          </w:rPr>
          <w:t>https://www.deutsche-digitale-bibliothek.de/item/2KFWEHI4JAI4CL7NFNXS3YSJJTM5QE7K</w:t>
        </w:r>
      </w:hyperlink>
      <w:r w:rsidRPr="00B56788">
        <w:t xml:space="preserve">. </w:t>
      </w:r>
      <w:r>
        <w:t>D</w:t>
      </w:r>
      <w:r w:rsidRPr="00B56788">
        <w:t>ie Re</w:t>
      </w:r>
      <w:r>
        <w:t>daktion von „</w:t>
      </w:r>
      <w:proofErr w:type="gramStart"/>
      <w:r>
        <w:t>;Mittelweg</w:t>
      </w:r>
      <w:proofErr w:type="gramEnd"/>
      <w:r>
        <w:t xml:space="preserve"> 36“, 26 (2017) 4, S. 2, hat den Holzschnitt von Dürer im Editorial für die Ausgabe zum Thema “Antun und erleiden: Über Gewalt“ benutzt. </w:t>
      </w:r>
    </w:p>
  </w:footnote>
  <w:footnote w:id="2">
    <w:p w:rsidR="00B56788" w:rsidRPr="00CB22E6" w:rsidRDefault="00B56788">
      <w:pPr>
        <w:pStyle w:val="Funotentext"/>
      </w:pPr>
      <w:r>
        <w:rPr>
          <w:rStyle w:val="Funotenzeichen"/>
        </w:rPr>
        <w:footnoteRef/>
      </w:r>
      <w:r w:rsidRPr="00B56788">
        <w:t xml:space="preserve"> Ruth Benedict: </w:t>
      </w:r>
      <w:r w:rsidRPr="00B56788">
        <w:rPr>
          <w:sz w:val="22"/>
          <w:szCs w:val="22"/>
        </w:rPr>
        <w:t xml:space="preserve">The Chrysanthemum </w:t>
      </w:r>
      <w:proofErr w:type="spellStart"/>
      <w:r w:rsidRPr="00B56788">
        <w:rPr>
          <w:sz w:val="22"/>
          <w:szCs w:val="22"/>
        </w:rPr>
        <w:t>and</w:t>
      </w:r>
      <w:proofErr w:type="spellEnd"/>
      <w:r w:rsidRPr="00B56788">
        <w:rPr>
          <w:sz w:val="22"/>
          <w:szCs w:val="22"/>
        </w:rPr>
        <w:t xml:space="preserve"> </w:t>
      </w:r>
      <w:proofErr w:type="spellStart"/>
      <w:r w:rsidRPr="00B56788">
        <w:rPr>
          <w:sz w:val="22"/>
          <w:szCs w:val="22"/>
        </w:rPr>
        <w:t>the</w:t>
      </w:r>
      <w:proofErr w:type="spellEnd"/>
      <w:r w:rsidRPr="00B56788">
        <w:rPr>
          <w:sz w:val="22"/>
          <w:szCs w:val="22"/>
        </w:rPr>
        <w:t xml:space="preserve"> </w:t>
      </w:r>
      <w:proofErr w:type="spellStart"/>
      <w:r w:rsidRPr="00B56788">
        <w:rPr>
          <w:sz w:val="22"/>
          <w:szCs w:val="22"/>
        </w:rPr>
        <w:t>Sword</w:t>
      </w:r>
      <w:proofErr w:type="spellEnd"/>
      <w:r w:rsidRPr="00B56788">
        <w:rPr>
          <w:sz w:val="22"/>
          <w:szCs w:val="22"/>
        </w:rPr>
        <w:t xml:space="preserve">: Patterns </w:t>
      </w:r>
      <w:proofErr w:type="spellStart"/>
      <w:r w:rsidRPr="00B56788">
        <w:rPr>
          <w:sz w:val="22"/>
          <w:szCs w:val="22"/>
        </w:rPr>
        <w:t>of</w:t>
      </w:r>
      <w:proofErr w:type="spellEnd"/>
      <w:r w:rsidRPr="00B56788">
        <w:rPr>
          <w:sz w:val="22"/>
          <w:szCs w:val="22"/>
        </w:rPr>
        <w:t xml:space="preserve"> </w:t>
      </w:r>
      <w:proofErr w:type="spellStart"/>
      <w:r w:rsidRPr="00B56788">
        <w:rPr>
          <w:sz w:val="22"/>
          <w:szCs w:val="22"/>
        </w:rPr>
        <w:t>Japanese</w:t>
      </w:r>
      <w:proofErr w:type="spellEnd"/>
      <w:r w:rsidRPr="00B56788">
        <w:rPr>
          <w:sz w:val="22"/>
          <w:szCs w:val="22"/>
        </w:rPr>
        <w:t xml:space="preserve"> Culture, 1946; siehe dazu Erwin </w:t>
      </w:r>
      <w:proofErr w:type="spellStart"/>
      <w:r w:rsidRPr="00B56788">
        <w:rPr>
          <w:sz w:val="22"/>
          <w:szCs w:val="22"/>
        </w:rPr>
        <w:t>Orywal</w:t>
      </w:r>
      <w:proofErr w:type="spellEnd"/>
      <w:r w:rsidRPr="00B56788">
        <w:rPr>
          <w:sz w:val="22"/>
          <w:szCs w:val="22"/>
        </w:rPr>
        <w:t>: Anthropologie/Ethnologie</w:t>
      </w:r>
      <w:r w:rsidRPr="00B56788">
        <w:rPr>
          <w:i/>
          <w:sz w:val="22"/>
          <w:szCs w:val="22"/>
        </w:rPr>
        <w:t xml:space="preserve">, </w:t>
      </w:r>
      <w:r w:rsidRPr="00B56788">
        <w:rPr>
          <w:sz w:val="22"/>
          <w:szCs w:val="22"/>
        </w:rPr>
        <w:t xml:space="preserve">in: Jacques </w:t>
      </w:r>
      <w:proofErr w:type="spellStart"/>
      <w:r w:rsidRPr="00B56788">
        <w:rPr>
          <w:sz w:val="22"/>
          <w:szCs w:val="22"/>
        </w:rPr>
        <w:t>Sémelin</w:t>
      </w:r>
      <w:proofErr w:type="spellEnd"/>
      <w:r w:rsidRPr="00B56788">
        <w:rPr>
          <w:b/>
          <w:sz w:val="22"/>
          <w:szCs w:val="22"/>
        </w:rPr>
        <w:t xml:space="preserve"> </w:t>
      </w:r>
      <w:r w:rsidRPr="00B56788">
        <w:rPr>
          <w:sz w:val="22"/>
          <w:szCs w:val="22"/>
        </w:rPr>
        <w:t>(</w:t>
      </w:r>
      <w:proofErr w:type="spellStart"/>
      <w:r w:rsidRPr="00B56788">
        <w:rPr>
          <w:sz w:val="22"/>
          <w:szCs w:val="22"/>
        </w:rPr>
        <w:t>Hg</w:t>
      </w:r>
      <w:proofErr w:type="spellEnd"/>
      <w:r w:rsidRPr="00B56788">
        <w:rPr>
          <w:sz w:val="22"/>
          <w:szCs w:val="22"/>
        </w:rPr>
        <w:t xml:space="preserve">.): Folter. </w:t>
      </w:r>
      <w:r w:rsidRPr="006C53C3">
        <w:rPr>
          <w:sz w:val="22"/>
          <w:szCs w:val="22"/>
        </w:rPr>
        <w:t>Zur Analyse eines Herrschaftsmittels, Hamburg 1991</w:t>
      </w:r>
      <w:r>
        <w:rPr>
          <w:sz w:val="22"/>
          <w:szCs w:val="22"/>
        </w:rPr>
        <w:t>,</w:t>
      </w:r>
      <w:r w:rsidRPr="006C53C3">
        <w:rPr>
          <w:sz w:val="22"/>
          <w:szCs w:val="22"/>
        </w:rPr>
        <w:t xml:space="preserve"> S. 307-314</w:t>
      </w:r>
      <w:r>
        <w:rPr>
          <w:sz w:val="22"/>
          <w:szCs w:val="22"/>
        </w:rPr>
        <w:t>.</w:t>
      </w:r>
    </w:p>
  </w:footnote>
  <w:footnote w:id="3">
    <w:p w:rsidR="00B56788" w:rsidRPr="00375917" w:rsidRDefault="00B56788" w:rsidP="006E64C7">
      <w:pPr>
        <w:pStyle w:val="Funotentext"/>
        <w:rPr>
          <w:i/>
        </w:rPr>
      </w:pPr>
      <w:r>
        <w:rPr>
          <w:rStyle w:val="Funotenzeichen"/>
        </w:rPr>
        <w:footnoteRef/>
      </w:r>
      <w:r>
        <w:t xml:space="preserve"> </w:t>
      </w:r>
      <w:proofErr w:type="spellStart"/>
      <w:r w:rsidRPr="00B51B4A">
        <w:rPr>
          <w:sz w:val="22"/>
          <w:szCs w:val="22"/>
        </w:rPr>
        <w:t>Tzvetan</w:t>
      </w:r>
      <w:proofErr w:type="spellEnd"/>
      <w:r w:rsidRPr="00B51B4A">
        <w:rPr>
          <w:sz w:val="22"/>
          <w:szCs w:val="22"/>
        </w:rPr>
        <w:t xml:space="preserve"> Todorov: Angesichts des Äußersten, München 1993, S. 137</w:t>
      </w:r>
      <w:r>
        <w:rPr>
          <w:sz w:val="22"/>
          <w:szCs w:val="22"/>
        </w:rPr>
        <w:t xml:space="preserve">, </w:t>
      </w:r>
      <w:r w:rsidRPr="00B51B4A">
        <w:rPr>
          <w:sz w:val="22"/>
          <w:szCs w:val="22"/>
        </w:rPr>
        <w:t>zitiert nach</w:t>
      </w:r>
      <w:r>
        <w:rPr>
          <w:sz w:val="22"/>
          <w:szCs w:val="22"/>
        </w:rPr>
        <w:t xml:space="preserve"> Primo Levi: </w:t>
      </w:r>
      <w:proofErr w:type="spellStart"/>
      <w:r w:rsidRPr="006E64C7">
        <w:rPr>
          <w:sz w:val="22"/>
          <w:szCs w:val="22"/>
        </w:rPr>
        <w:t>Si</w:t>
      </w:r>
      <w:proofErr w:type="spellEnd"/>
      <w:r w:rsidRPr="006E64C7">
        <w:rPr>
          <w:sz w:val="22"/>
          <w:szCs w:val="22"/>
        </w:rPr>
        <w:t xml:space="preserve"> </w:t>
      </w:r>
      <w:proofErr w:type="spellStart"/>
      <w:r w:rsidRPr="006E64C7">
        <w:rPr>
          <w:sz w:val="22"/>
          <w:szCs w:val="22"/>
        </w:rPr>
        <w:t>c’est</w:t>
      </w:r>
      <w:proofErr w:type="spellEnd"/>
      <w:r w:rsidRPr="006E64C7">
        <w:rPr>
          <w:sz w:val="22"/>
          <w:szCs w:val="22"/>
        </w:rPr>
        <w:t xml:space="preserve"> </w:t>
      </w:r>
      <w:proofErr w:type="spellStart"/>
      <w:r w:rsidRPr="006E64C7">
        <w:rPr>
          <w:sz w:val="22"/>
          <w:szCs w:val="22"/>
        </w:rPr>
        <w:t>un</w:t>
      </w:r>
      <w:proofErr w:type="spellEnd"/>
      <w:r w:rsidRPr="006E64C7">
        <w:rPr>
          <w:sz w:val="22"/>
          <w:szCs w:val="22"/>
        </w:rPr>
        <w:t xml:space="preserve"> </w:t>
      </w:r>
      <w:proofErr w:type="spellStart"/>
      <w:r w:rsidRPr="006E64C7">
        <w:rPr>
          <w:sz w:val="22"/>
          <w:szCs w:val="22"/>
        </w:rPr>
        <w:t>homme</w:t>
      </w:r>
      <w:proofErr w:type="spellEnd"/>
      <w:proofErr w:type="gramStart"/>
      <w:r w:rsidR="0045371C">
        <w:rPr>
          <w:sz w:val="22"/>
          <w:szCs w:val="22"/>
        </w:rPr>
        <w:t>?</w:t>
      </w:r>
      <w:r w:rsidRPr="006E64C7">
        <w:rPr>
          <w:sz w:val="22"/>
          <w:szCs w:val="22"/>
        </w:rPr>
        <w:t>,</w:t>
      </w:r>
      <w:proofErr w:type="gramEnd"/>
      <w:r>
        <w:rPr>
          <w:sz w:val="22"/>
          <w:szCs w:val="22"/>
        </w:rPr>
        <w:t xml:space="preserve"> </w:t>
      </w:r>
      <w:r w:rsidR="0045371C">
        <w:rPr>
          <w:sz w:val="22"/>
          <w:szCs w:val="22"/>
        </w:rPr>
        <w:t xml:space="preserve">1976, </w:t>
      </w:r>
      <w:r>
        <w:rPr>
          <w:sz w:val="22"/>
          <w:szCs w:val="22"/>
        </w:rPr>
        <w:t xml:space="preserve">S. 12. </w:t>
      </w:r>
    </w:p>
  </w:footnote>
  <w:footnote w:id="4">
    <w:p w:rsidR="00B56788" w:rsidRDefault="00B56788" w:rsidP="006E64C7">
      <w:pPr>
        <w:pStyle w:val="Funotentext"/>
      </w:pPr>
      <w:r>
        <w:rPr>
          <w:rStyle w:val="Funotenzeichen"/>
        </w:rPr>
        <w:footnoteRef/>
      </w:r>
      <w:r>
        <w:t xml:space="preserve"> Germain </w:t>
      </w:r>
      <w:proofErr w:type="spellStart"/>
      <w:r>
        <w:t>Tillion</w:t>
      </w:r>
      <w:proofErr w:type="spellEnd"/>
      <w:r>
        <w:t xml:space="preserve">: </w:t>
      </w:r>
      <w:proofErr w:type="spellStart"/>
      <w:r>
        <w:t>Ravensbrück</w:t>
      </w:r>
      <w:proofErr w:type="spellEnd"/>
      <w:r>
        <w:t xml:space="preserve">, </w:t>
      </w:r>
      <w:r w:rsidRPr="00DB7048">
        <w:t>1988, S. 54</w:t>
      </w:r>
      <w:r>
        <w:t xml:space="preserve">. </w:t>
      </w:r>
    </w:p>
  </w:footnote>
  <w:footnote w:id="5">
    <w:p w:rsidR="00B56788" w:rsidRDefault="00B56788">
      <w:pPr>
        <w:pStyle w:val="Funotentext"/>
      </w:pPr>
      <w:r>
        <w:rPr>
          <w:rStyle w:val="Funotenzeichen"/>
        </w:rPr>
        <w:footnoteRef/>
      </w:r>
      <w:r>
        <w:t xml:space="preserve"> Hierüber berichtet </w:t>
      </w:r>
      <w:r w:rsidRPr="006657A6">
        <w:t xml:space="preserve">Harald </w:t>
      </w:r>
      <w:proofErr w:type="spellStart"/>
      <w:r w:rsidRPr="006657A6">
        <w:t>Welzer</w:t>
      </w:r>
      <w:proofErr w:type="spellEnd"/>
      <w:r w:rsidRPr="006657A6">
        <w:t xml:space="preserve"> </w:t>
      </w:r>
      <w:r>
        <w:t>(U</w:t>
      </w:r>
      <w:r w:rsidRPr="006657A6">
        <w:t>nter Mitarbeit von Michaela Christ): Täter. Wie aus ganz normalen Menschen Massenmörder werden, Frankfurt/M 2005</w:t>
      </w:r>
      <w:r>
        <w:t xml:space="preserve">, S. 9, dort zitiert nach </w:t>
      </w:r>
      <w:r w:rsidRPr="00586432">
        <w:t xml:space="preserve">Molly </w:t>
      </w:r>
      <w:proofErr w:type="spellStart"/>
      <w:r w:rsidRPr="00586432">
        <w:t>Harrower</w:t>
      </w:r>
      <w:proofErr w:type="spellEnd"/>
      <w:r w:rsidRPr="00586432">
        <w:t xml:space="preserve">: Rohrschach Records </w:t>
      </w:r>
      <w:proofErr w:type="spellStart"/>
      <w:r w:rsidRPr="00586432">
        <w:t>of</w:t>
      </w:r>
      <w:proofErr w:type="spellEnd"/>
      <w:r w:rsidRPr="00586432">
        <w:t xml:space="preserve"> Nazi War Criminals: An Experimental Study after </w:t>
      </w:r>
      <w:proofErr w:type="spellStart"/>
      <w:r w:rsidRPr="00586432">
        <w:t>Thirty</w:t>
      </w:r>
      <w:proofErr w:type="spellEnd"/>
      <w:r w:rsidRPr="00586432">
        <w:t xml:space="preserve"> </w:t>
      </w:r>
      <w:proofErr w:type="spellStart"/>
      <w:r w:rsidRPr="00586432">
        <w:t>Years</w:t>
      </w:r>
      <w:proofErr w:type="spellEnd"/>
      <w:r w:rsidRPr="00586432">
        <w:t xml:space="preserve">, in: Journal </w:t>
      </w:r>
      <w:proofErr w:type="spellStart"/>
      <w:r w:rsidRPr="00586432">
        <w:t>o</w:t>
      </w:r>
      <w:r>
        <w:t>f</w:t>
      </w:r>
      <w:proofErr w:type="spellEnd"/>
      <w:r>
        <w:t xml:space="preserve"> </w:t>
      </w:r>
      <w:proofErr w:type="spellStart"/>
      <w:r>
        <w:t>Personality</w:t>
      </w:r>
      <w:proofErr w:type="spellEnd"/>
      <w:r>
        <w:t xml:space="preserve"> Assessment, 40</w:t>
      </w:r>
      <w:r w:rsidRPr="00586432">
        <w:t xml:space="preserve"> </w:t>
      </w:r>
      <w:r>
        <w:t>(</w:t>
      </w:r>
      <w:r w:rsidRPr="00586432">
        <w:t>1976</w:t>
      </w:r>
      <w:r>
        <w:t xml:space="preserve">) 4, S. 341-351; </w:t>
      </w:r>
      <w:proofErr w:type="spellStart"/>
      <w:r w:rsidRPr="00586432">
        <w:t>Harrower</w:t>
      </w:r>
      <w:proofErr w:type="spellEnd"/>
      <w:r w:rsidRPr="00586432">
        <w:t xml:space="preserve">, die selbst zu den Gutachtern zählte, legte1974 </w:t>
      </w:r>
      <w:r>
        <w:t xml:space="preserve">die Rohrschach-Tests </w:t>
      </w:r>
      <w:r w:rsidRPr="00586432">
        <w:t>noch einmal Gutachtern vor</w:t>
      </w:r>
      <w:r>
        <w:t xml:space="preserve">. Die Gruppe nahm damit gegen eine andere Wiederholungsuntersuchung Stellung, die sich noch am psychoanalytischen Kindheitsmodell orientiert hatte: </w:t>
      </w:r>
      <w:r w:rsidRPr="0008770A">
        <w:t xml:space="preserve">Florence R. </w:t>
      </w:r>
      <w:proofErr w:type="spellStart"/>
      <w:r w:rsidRPr="0008770A">
        <w:t>Miale</w:t>
      </w:r>
      <w:proofErr w:type="spellEnd"/>
      <w:r>
        <w:t>/</w:t>
      </w:r>
      <w:r w:rsidRPr="0008770A">
        <w:t xml:space="preserve">Michael Selzer: </w:t>
      </w:r>
      <w:r w:rsidRPr="0008770A">
        <w:rPr>
          <w:iCs/>
        </w:rPr>
        <w:t xml:space="preserve">The </w:t>
      </w:r>
      <w:proofErr w:type="spellStart"/>
      <w:r w:rsidRPr="0008770A">
        <w:rPr>
          <w:iCs/>
        </w:rPr>
        <w:t>Nuremberg</w:t>
      </w:r>
      <w:proofErr w:type="spellEnd"/>
      <w:r w:rsidRPr="0008770A">
        <w:rPr>
          <w:iCs/>
        </w:rPr>
        <w:t xml:space="preserve"> </w:t>
      </w:r>
      <w:proofErr w:type="spellStart"/>
      <w:r>
        <w:rPr>
          <w:iCs/>
        </w:rPr>
        <w:t>M</w:t>
      </w:r>
      <w:r w:rsidRPr="0008770A">
        <w:rPr>
          <w:iCs/>
        </w:rPr>
        <w:t>ind</w:t>
      </w:r>
      <w:proofErr w:type="spellEnd"/>
      <w:r w:rsidRPr="0008770A">
        <w:rPr>
          <w:iCs/>
        </w:rPr>
        <w:t xml:space="preserve">: </w:t>
      </w:r>
      <w:proofErr w:type="spellStart"/>
      <w:r w:rsidRPr="0008770A">
        <w:rPr>
          <w:iCs/>
        </w:rPr>
        <w:t>the</w:t>
      </w:r>
      <w:proofErr w:type="spellEnd"/>
      <w:r w:rsidRPr="0008770A">
        <w:rPr>
          <w:iCs/>
        </w:rPr>
        <w:t xml:space="preserve"> </w:t>
      </w:r>
      <w:proofErr w:type="spellStart"/>
      <w:r w:rsidRPr="0008770A">
        <w:rPr>
          <w:iCs/>
        </w:rPr>
        <w:t>psychology</w:t>
      </w:r>
      <w:proofErr w:type="spellEnd"/>
      <w:r w:rsidRPr="0008770A">
        <w:rPr>
          <w:iCs/>
        </w:rPr>
        <w:t xml:space="preserve"> </w:t>
      </w:r>
      <w:proofErr w:type="spellStart"/>
      <w:r w:rsidRPr="0008770A">
        <w:rPr>
          <w:iCs/>
        </w:rPr>
        <w:t>of</w:t>
      </w:r>
      <w:proofErr w:type="spellEnd"/>
      <w:r w:rsidRPr="0008770A">
        <w:rPr>
          <w:iCs/>
        </w:rPr>
        <w:t xml:space="preserve"> </w:t>
      </w:r>
      <w:proofErr w:type="spellStart"/>
      <w:r w:rsidRPr="0008770A">
        <w:rPr>
          <w:iCs/>
        </w:rPr>
        <w:t>the</w:t>
      </w:r>
      <w:proofErr w:type="spellEnd"/>
      <w:r w:rsidRPr="0008770A">
        <w:rPr>
          <w:iCs/>
        </w:rPr>
        <w:t xml:space="preserve"> Nazi </w:t>
      </w:r>
      <w:proofErr w:type="spellStart"/>
      <w:r w:rsidRPr="0008770A">
        <w:rPr>
          <w:iCs/>
        </w:rPr>
        <w:t>leaders</w:t>
      </w:r>
      <w:proofErr w:type="spellEnd"/>
      <w:r w:rsidRPr="0008770A">
        <w:t xml:space="preserve">, </w:t>
      </w:r>
      <w:proofErr w:type="spellStart"/>
      <w:r w:rsidRPr="0008770A">
        <w:t>with</w:t>
      </w:r>
      <w:proofErr w:type="spellEnd"/>
      <w:r w:rsidRPr="0008770A">
        <w:t xml:space="preserve"> an </w:t>
      </w:r>
      <w:proofErr w:type="spellStart"/>
      <w:r w:rsidRPr="0008770A">
        <w:t>introduction</w:t>
      </w:r>
      <w:proofErr w:type="spellEnd"/>
      <w:r w:rsidRPr="0008770A">
        <w:t xml:space="preserve"> </w:t>
      </w:r>
      <w:proofErr w:type="spellStart"/>
      <w:r w:rsidRPr="0008770A">
        <w:t>and</w:t>
      </w:r>
      <w:proofErr w:type="spellEnd"/>
      <w:r w:rsidRPr="0008770A">
        <w:t xml:space="preserve"> Rorschach </w:t>
      </w:r>
      <w:proofErr w:type="spellStart"/>
      <w:r w:rsidRPr="0008770A">
        <w:t>records</w:t>
      </w:r>
      <w:proofErr w:type="spellEnd"/>
      <w:r w:rsidRPr="0008770A">
        <w:t xml:space="preserve"> </w:t>
      </w:r>
      <w:proofErr w:type="spellStart"/>
      <w:r w:rsidRPr="0008770A">
        <w:t>by</w:t>
      </w:r>
      <w:proofErr w:type="spellEnd"/>
      <w:r w:rsidRPr="0008770A">
        <w:t xml:space="preserve"> Gustave M. Gilbert, </w:t>
      </w:r>
      <w:r>
        <w:t>N</w:t>
      </w:r>
      <w:r w:rsidRPr="0008770A">
        <w:t>ew York 1975</w:t>
      </w:r>
      <w:r>
        <w:t xml:space="preserve">. </w:t>
      </w:r>
    </w:p>
  </w:footnote>
  <w:footnote w:id="6">
    <w:p w:rsidR="00B56788" w:rsidRDefault="00B56788">
      <w:pPr>
        <w:pStyle w:val="Funotentext"/>
      </w:pPr>
      <w:r>
        <w:rPr>
          <w:rStyle w:val="Funotenzeichen"/>
        </w:rPr>
        <w:footnoteRef/>
      </w:r>
      <w:r>
        <w:t xml:space="preserve"> Todorov: Angesichts des Äußersten, </w:t>
      </w:r>
      <w:r w:rsidRPr="0008770A">
        <w:t>S.14, 25</w:t>
      </w:r>
      <w:r>
        <w:t>,</w:t>
      </w:r>
      <w:r w:rsidRPr="0008770A">
        <w:t xml:space="preserve"> 31.</w:t>
      </w:r>
    </w:p>
  </w:footnote>
  <w:footnote w:id="7">
    <w:p w:rsidR="00B56788" w:rsidRPr="0008770A" w:rsidRDefault="00B56788">
      <w:pPr>
        <w:pStyle w:val="Funotentext"/>
        <w:rPr>
          <w:lang w:val="en-US"/>
        </w:rPr>
      </w:pPr>
      <w:r>
        <w:rPr>
          <w:rStyle w:val="Funotenzeichen"/>
        </w:rPr>
        <w:footnoteRef/>
      </w:r>
      <w:r w:rsidRPr="0008770A">
        <w:rPr>
          <w:lang w:val="en-US"/>
        </w:rPr>
        <w:t xml:space="preserve"> Helen Fein</w:t>
      </w:r>
      <w:r>
        <w:rPr>
          <w:lang w:val="en-US"/>
        </w:rPr>
        <w:t xml:space="preserve">: </w:t>
      </w:r>
      <w:r w:rsidRPr="00AA1894">
        <w:rPr>
          <w:iCs/>
          <w:lang w:val="en-US"/>
        </w:rPr>
        <w:t>Accounting for Genocide</w:t>
      </w:r>
      <w:r>
        <w:rPr>
          <w:iCs/>
          <w:lang w:val="en-US"/>
        </w:rPr>
        <w:t xml:space="preserve">, </w:t>
      </w:r>
      <w:r w:rsidRPr="0008770A">
        <w:rPr>
          <w:lang w:val="en-US"/>
        </w:rPr>
        <w:t>New York 1979</w:t>
      </w:r>
      <w:r>
        <w:rPr>
          <w:lang w:val="en-US"/>
        </w:rPr>
        <w:t>.</w:t>
      </w:r>
    </w:p>
  </w:footnote>
  <w:footnote w:id="8">
    <w:p w:rsidR="00B56788" w:rsidRPr="00B56788" w:rsidRDefault="00B56788">
      <w:pPr>
        <w:pStyle w:val="Funotentext"/>
        <w:rPr>
          <w:lang w:val="en-US"/>
        </w:rPr>
      </w:pPr>
      <w:r>
        <w:rPr>
          <w:rStyle w:val="Funotenzeichen"/>
        </w:rPr>
        <w:footnoteRef/>
      </w:r>
      <w:r w:rsidRPr="00B56788">
        <w:rPr>
          <w:lang w:val="en-US"/>
        </w:rPr>
        <w:t xml:space="preserve"> </w:t>
      </w:r>
      <w:proofErr w:type="spellStart"/>
      <w:r w:rsidRPr="00B56788">
        <w:rPr>
          <w:lang w:val="en-US"/>
        </w:rPr>
        <w:t>Welzer</w:t>
      </w:r>
      <w:proofErr w:type="spellEnd"/>
      <w:r w:rsidRPr="00B56788">
        <w:rPr>
          <w:lang w:val="en-US"/>
        </w:rPr>
        <w:t xml:space="preserve">: </w:t>
      </w:r>
      <w:proofErr w:type="spellStart"/>
      <w:r w:rsidRPr="00B56788">
        <w:rPr>
          <w:lang w:val="en-US"/>
        </w:rPr>
        <w:t>Täter</w:t>
      </w:r>
      <w:proofErr w:type="spellEnd"/>
      <w:r w:rsidRPr="00B56788">
        <w:rPr>
          <w:lang w:val="en-US"/>
        </w:rPr>
        <w:t>, S. 37.</w:t>
      </w:r>
    </w:p>
  </w:footnote>
  <w:footnote w:id="9">
    <w:p w:rsidR="00B56788" w:rsidRPr="00BE6153" w:rsidRDefault="00B56788">
      <w:pPr>
        <w:pStyle w:val="Funotentext"/>
      </w:pPr>
      <w:r>
        <w:rPr>
          <w:rStyle w:val="Funotenzeichen"/>
        </w:rPr>
        <w:footnoteRef/>
      </w:r>
      <w:r w:rsidRPr="00AA1894">
        <w:rPr>
          <w:lang w:val="en-US"/>
        </w:rPr>
        <w:t xml:space="preserve"> Henry Dicks: Licensed Mass Murder.</w:t>
      </w:r>
      <w:r>
        <w:rPr>
          <w:lang w:val="en-US"/>
        </w:rPr>
        <w:t xml:space="preserve"> </w:t>
      </w:r>
      <w:r w:rsidRPr="00BE6153">
        <w:t xml:space="preserve">A </w:t>
      </w:r>
      <w:proofErr w:type="spellStart"/>
      <w:r w:rsidRPr="00BE6153">
        <w:t>Socio</w:t>
      </w:r>
      <w:proofErr w:type="spellEnd"/>
      <w:r w:rsidRPr="00BE6153">
        <w:t xml:space="preserve">-Psychological Study </w:t>
      </w:r>
      <w:proofErr w:type="spellStart"/>
      <w:r w:rsidRPr="00BE6153">
        <w:t>of</w:t>
      </w:r>
      <w:proofErr w:type="spellEnd"/>
      <w:r w:rsidRPr="00BE6153">
        <w:t xml:space="preserve"> </w:t>
      </w:r>
      <w:proofErr w:type="spellStart"/>
      <w:r w:rsidRPr="00BE6153">
        <w:t>Some</w:t>
      </w:r>
      <w:proofErr w:type="spellEnd"/>
      <w:r w:rsidRPr="00BE6153">
        <w:t xml:space="preserve"> SS Killers, New York 1972; bei </w:t>
      </w:r>
      <w:r>
        <w:t>D</w:t>
      </w:r>
      <w:r w:rsidRPr="00BE6153">
        <w:t>icks eindrückliche Beispiele für das Trainieren von grausamen Verhalten</w:t>
      </w:r>
      <w:r>
        <w:t>, z.B.</w:t>
      </w:r>
      <w:r w:rsidRPr="00BE6153">
        <w:t xml:space="preserve"> gegenüber Häftlingen </w:t>
      </w:r>
      <w:r>
        <w:t xml:space="preserve">in den frühen Konzentrationslagern; hier wurden „Rollen“ eingeübt für dann folgende Karrieren in den Lagern (siehe z.B. S. 93ff. </w:t>
      </w:r>
      <w:r w:rsidRPr="00BE6153">
        <w:t>.</w:t>
      </w:r>
    </w:p>
  </w:footnote>
  <w:footnote w:id="10">
    <w:p w:rsidR="00B56788" w:rsidRDefault="00B56788">
      <w:pPr>
        <w:pStyle w:val="Funotentext"/>
      </w:pPr>
      <w:r>
        <w:rPr>
          <w:rStyle w:val="Funotenzeichen"/>
        </w:rPr>
        <w:footnoteRef/>
      </w:r>
      <w:r w:rsidRPr="00DB6222">
        <w:t xml:space="preserve"> </w:t>
      </w:r>
      <w:r>
        <w:t xml:space="preserve">Gerhard </w:t>
      </w:r>
      <w:r w:rsidRPr="00DB6222">
        <w:t>Paul</w:t>
      </w:r>
      <w:r w:rsidRPr="00DB6222">
        <w:rPr>
          <w:i/>
        </w:rPr>
        <w:t xml:space="preserve">: </w:t>
      </w:r>
      <w:r w:rsidRPr="00DB6222">
        <w:t>Von Psychopathen, Technokraten des Terrors und „ganz gewöhnlichen“ Deutschen“,</w:t>
      </w:r>
      <w:r w:rsidRPr="00DB6222">
        <w:rPr>
          <w:i/>
        </w:rPr>
        <w:t xml:space="preserve"> </w:t>
      </w:r>
      <w:r>
        <w:t xml:space="preserve">in: </w:t>
      </w:r>
      <w:proofErr w:type="spellStart"/>
      <w:r>
        <w:t>ders</w:t>
      </w:r>
      <w:proofErr w:type="spellEnd"/>
      <w:r>
        <w:t>. (</w:t>
      </w:r>
      <w:proofErr w:type="spellStart"/>
      <w:r>
        <w:t>Hrg</w:t>
      </w:r>
      <w:proofErr w:type="spellEnd"/>
      <w:r>
        <w:t>.)</w:t>
      </w:r>
      <w:r w:rsidRPr="00DB6222">
        <w:t xml:space="preserve">: Täter der </w:t>
      </w:r>
      <w:proofErr w:type="spellStart"/>
      <w:r w:rsidRPr="00DB6222">
        <w:t>Shoa</w:t>
      </w:r>
      <w:proofErr w:type="spellEnd"/>
      <w:r>
        <w:t xml:space="preserve">. </w:t>
      </w:r>
      <w:r w:rsidRPr="0019258A">
        <w:t>Fanatische Nationalsozialisten oder ganz normale Deutsche</w:t>
      </w:r>
      <w:proofErr w:type="gramStart"/>
      <w:r w:rsidRPr="0019258A">
        <w:t>?,</w:t>
      </w:r>
      <w:proofErr w:type="gramEnd"/>
      <w:r w:rsidRPr="0019258A">
        <w:t xml:space="preserve"> Göttingen 2002,</w:t>
      </w:r>
      <w:r>
        <w:t xml:space="preserve"> </w:t>
      </w:r>
      <w:r w:rsidRPr="00DB6222">
        <w:t>S.13-90</w:t>
      </w:r>
      <w:r>
        <w:t>, hier</w:t>
      </w:r>
      <w:r w:rsidRPr="00DB6222">
        <w:t xml:space="preserve"> S.35f</w:t>
      </w:r>
      <w:r>
        <w:t xml:space="preserve">., zitiert Helmut </w:t>
      </w:r>
      <w:r w:rsidRPr="00DB6222">
        <w:t>Krausnick/</w:t>
      </w:r>
      <w:r>
        <w:t xml:space="preserve">Hans-Heinrich </w:t>
      </w:r>
      <w:r w:rsidRPr="00DB6222">
        <w:t xml:space="preserve">Wilhelm: </w:t>
      </w:r>
      <w:r>
        <w:t xml:space="preserve">Die </w:t>
      </w:r>
      <w:r w:rsidRPr="00DB6222">
        <w:t>Truppe des Weltanschauungskrieges</w:t>
      </w:r>
      <w:r>
        <w:t>. Die Einsatzgruppen der Sicherheitspolizei und des SD</w:t>
      </w:r>
      <w:r w:rsidRPr="00DB6222">
        <w:t xml:space="preserve">, </w:t>
      </w:r>
      <w:r>
        <w:t>1938-1942, Stuttgart 1981,</w:t>
      </w:r>
      <w:r w:rsidRPr="00DB6222">
        <w:t xml:space="preserve"> </w:t>
      </w:r>
      <w:r>
        <w:t xml:space="preserve">S. </w:t>
      </w:r>
      <w:r w:rsidRPr="00DB6222">
        <w:t>281.</w:t>
      </w:r>
    </w:p>
  </w:footnote>
  <w:footnote w:id="11">
    <w:p w:rsidR="00B56788" w:rsidRDefault="00B56788">
      <w:pPr>
        <w:pStyle w:val="Funotentext"/>
      </w:pPr>
      <w:r>
        <w:rPr>
          <w:rStyle w:val="Funotenzeichen"/>
        </w:rPr>
        <w:footnoteRef/>
      </w:r>
      <w:r>
        <w:t xml:space="preserve"> Gerhard Kümmel/Paul Klein: Gewalt im Militär, in: Heitmeyer/</w:t>
      </w:r>
      <w:proofErr w:type="spellStart"/>
      <w:r>
        <w:t>Hagan</w:t>
      </w:r>
      <w:proofErr w:type="spellEnd"/>
      <w:r>
        <w:t xml:space="preserve"> (siehe Anm. 12), S. 215-234, resümieren: “Die Reduktion von Gewalttätigkeit auf bestimmte Persönlichkeiten oder auf Eigenselektion greift aber zur Erklärung von brutalem Verhalten zu kurz, fielen doch auch militärische Einheiten durch Gewalttätigkeiten auf, die keineswegs aus Freiwilligen bestanden und keinem wie auch immer gearteten Selektionsprozess unterworfen waren.“ (S.226f.)</w:t>
      </w:r>
    </w:p>
  </w:footnote>
  <w:footnote w:id="12">
    <w:p w:rsidR="00B56788" w:rsidRDefault="00B56788">
      <w:pPr>
        <w:pStyle w:val="Funotentext"/>
      </w:pPr>
      <w:r>
        <w:rPr>
          <w:rStyle w:val="Funotenzeichen"/>
        </w:rPr>
        <w:footnoteRef/>
      </w:r>
      <w:r>
        <w:t xml:space="preserve"> </w:t>
      </w:r>
      <w:r w:rsidRPr="00CB22E6">
        <w:t xml:space="preserve">Wilhelm Heitmeyer/John </w:t>
      </w:r>
      <w:proofErr w:type="spellStart"/>
      <w:r w:rsidRPr="00CB22E6">
        <w:t>Hagan</w:t>
      </w:r>
      <w:proofErr w:type="spellEnd"/>
      <w:r>
        <w:t>:</w:t>
      </w:r>
      <w:r w:rsidRPr="00CB22E6">
        <w:t xml:space="preserve"> Gewalt</w:t>
      </w:r>
      <w:r w:rsidRPr="00CB22E6">
        <w:rPr>
          <w:i/>
        </w:rPr>
        <w:t>.</w:t>
      </w:r>
      <w:r w:rsidRPr="00CB22E6">
        <w:t xml:space="preserve"> Zu den Schwierigkeiten einer systematischen internationalen Bestandsaufnahme</w:t>
      </w:r>
      <w:r>
        <w:t>, in: dies.</w:t>
      </w:r>
      <w:r w:rsidRPr="00CB22E6">
        <w:t xml:space="preserve"> (</w:t>
      </w:r>
      <w:proofErr w:type="spellStart"/>
      <w:r w:rsidRPr="00CB22E6">
        <w:t>Hg</w:t>
      </w:r>
      <w:proofErr w:type="spellEnd"/>
      <w:r w:rsidRPr="00CB22E6">
        <w:t>.): Internationales Handbuch der Gewaltforschung, Wiesbaden 2002</w:t>
      </w:r>
      <w:r>
        <w:t xml:space="preserve">, </w:t>
      </w:r>
      <w:r w:rsidRPr="00CB22E6">
        <w:t>S. 15-25</w:t>
      </w:r>
      <w:r>
        <w:t>.</w:t>
      </w:r>
    </w:p>
  </w:footnote>
  <w:footnote w:id="13">
    <w:p w:rsidR="00B56788" w:rsidRDefault="00B56788">
      <w:pPr>
        <w:pStyle w:val="Funotentext"/>
      </w:pPr>
      <w:r>
        <w:rPr>
          <w:rStyle w:val="Funotenzeichen"/>
        </w:rPr>
        <w:footnoteRef/>
      </w:r>
      <w:r>
        <w:t xml:space="preserve"> Siehe hierzu </w:t>
      </w:r>
      <w:r w:rsidRPr="004339DC">
        <w:t>Stefan Wiese: Pogrom</w:t>
      </w:r>
      <w:r w:rsidRPr="004339DC">
        <w:rPr>
          <w:i/>
        </w:rPr>
        <w:t>,</w:t>
      </w:r>
      <w:r>
        <w:rPr>
          <w:i/>
        </w:rPr>
        <w:t xml:space="preserve"> </w:t>
      </w:r>
      <w:r>
        <w:t xml:space="preserve">in: Christina </w:t>
      </w:r>
      <w:proofErr w:type="spellStart"/>
      <w:r w:rsidRPr="004339DC">
        <w:t>Gudehus</w:t>
      </w:r>
      <w:proofErr w:type="spellEnd"/>
      <w:r w:rsidRPr="004339DC">
        <w:t>/</w:t>
      </w:r>
      <w:r>
        <w:t xml:space="preserve">Michaela </w:t>
      </w:r>
      <w:r w:rsidRPr="004339DC">
        <w:t>Christ: Gewalt</w:t>
      </w:r>
      <w:r>
        <w:t>. Ein interdisziplinäres</w:t>
      </w:r>
      <w:r w:rsidRPr="004339DC">
        <w:t xml:space="preserve"> Handbuch</w:t>
      </w:r>
      <w:r>
        <w:t>,</w:t>
      </w:r>
      <w:r w:rsidRPr="004339DC">
        <w:t xml:space="preserve"> </w:t>
      </w:r>
      <w:r>
        <w:t xml:space="preserve">Berlin 2013, </w:t>
      </w:r>
      <w:r w:rsidRPr="004339DC">
        <w:t>S.142-157.</w:t>
      </w:r>
    </w:p>
  </w:footnote>
  <w:footnote w:id="14">
    <w:p w:rsidR="00B56788" w:rsidRDefault="00B56788">
      <w:pPr>
        <w:pStyle w:val="Funotentext"/>
      </w:pPr>
      <w:r>
        <w:rPr>
          <w:rStyle w:val="Funotenzeichen"/>
        </w:rPr>
        <w:footnoteRef/>
      </w:r>
      <w:r>
        <w:t xml:space="preserve"> </w:t>
      </w:r>
      <w:r w:rsidRPr="007A5C39">
        <w:t xml:space="preserve">Jacques </w:t>
      </w:r>
      <w:proofErr w:type="spellStart"/>
      <w:r w:rsidRPr="007A5C39">
        <w:t>Sémelin</w:t>
      </w:r>
      <w:proofErr w:type="spellEnd"/>
      <w:r w:rsidRPr="007A5C39">
        <w:t>: Elemente einer Grammatik des Massakers, in: Mittelweg 15 (2006) 6, S. 18-40</w:t>
      </w:r>
      <w:r>
        <w:t>; Zitate S. 18, 23, 24, 25, 27, 29.</w:t>
      </w:r>
      <w:r w:rsidRPr="007A5C39">
        <w:t xml:space="preserve">  </w:t>
      </w:r>
    </w:p>
  </w:footnote>
  <w:footnote w:id="15">
    <w:p w:rsidR="00B56788" w:rsidRDefault="00B56788">
      <w:pPr>
        <w:pStyle w:val="Funotentext"/>
      </w:pPr>
      <w:r>
        <w:rPr>
          <w:rStyle w:val="Funotenzeichen"/>
        </w:rPr>
        <w:footnoteRef/>
      </w:r>
      <w:r>
        <w:t xml:space="preserve"> Heitmeyer/</w:t>
      </w:r>
      <w:proofErr w:type="spellStart"/>
      <w:r>
        <w:t>Hagan</w:t>
      </w:r>
      <w:proofErr w:type="spellEnd"/>
      <w:r>
        <w:t xml:space="preserve">: Gewalt, S. 19. </w:t>
      </w:r>
    </w:p>
  </w:footnote>
  <w:footnote w:id="16">
    <w:p w:rsidR="00B56788" w:rsidRDefault="00B56788">
      <w:pPr>
        <w:pStyle w:val="Funotentext"/>
      </w:pPr>
      <w:r>
        <w:rPr>
          <w:rStyle w:val="Funotenzeichen"/>
        </w:rPr>
        <w:footnoteRef/>
      </w:r>
      <w:r>
        <w:t xml:space="preserve"> </w:t>
      </w:r>
      <w:r w:rsidRPr="007C1F34">
        <w:t>Michaela Christ: Codierung,</w:t>
      </w:r>
      <w:r>
        <w:t xml:space="preserve"> in: </w:t>
      </w:r>
      <w:proofErr w:type="spellStart"/>
      <w:r w:rsidRPr="007C1F34">
        <w:t>Gudehus</w:t>
      </w:r>
      <w:proofErr w:type="spellEnd"/>
      <w:r w:rsidRPr="007C1F34">
        <w:t>/Christ: Gewalt</w:t>
      </w:r>
      <w:r>
        <w:t>,</w:t>
      </w:r>
      <w:r w:rsidRPr="007C1F34">
        <w:t xml:space="preserve"> S. 190-196</w:t>
      </w:r>
      <w:r w:rsidRPr="007C1F34">
        <w:rPr>
          <w:u w:val="single"/>
        </w:rPr>
        <w:t>.</w:t>
      </w:r>
    </w:p>
  </w:footnote>
  <w:footnote w:id="17">
    <w:p w:rsidR="00B56788" w:rsidRPr="00C80831" w:rsidRDefault="00B56788">
      <w:pPr>
        <w:pStyle w:val="Funotentext"/>
      </w:pPr>
      <w:r>
        <w:rPr>
          <w:rStyle w:val="Funotenzeichen"/>
        </w:rPr>
        <w:footnoteRef/>
      </w:r>
      <w:r w:rsidRPr="00E3663A">
        <w:rPr>
          <w:lang w:val="en-US"/>
        </w:rPr>
        <w:t xml:space="preserve"> Herbert </w:t>
      </w:r>
      <w:proofErr w:type="spellStart"/>
      <w:r w:rsidRPr="00E3663A">
        <w:rPr>
          <w:lang w:val="en-US"/>
        </w:rPr>
        <w:t>Kelman</w:t>
      </w:r>
      <w:proofErr w:type="spellEnd"/>
      <w:r w:rsidRPr="00E3663A">
        <w:rPr>
          <w:lang w:val="en-US"/>
        </w:rPr>
        <w:t xml:space="preserve">: The Social Context of Torture, in: </w:t>
      </w:r>
      <w:r>
        <w:rPr>
          <w:lang w:val="en-US"/>
        </w:rPr>
        <w:t xml:space="preserve">Ronald D. </w:t>
      </w:r>
      <w:proofErr w:type="spellStart"/>
      <w:r w:rsidRPr="00E3663A">
        <w:rPr>
          <w:lang w:val="en-US"/>
        </w:rPr>
        <w:t>Crelinsten</w:t>
      </w:r>
      <w:proofErr w:type="spellEnd"/>
      <w:r w:rsidRPr="00E3663A">
        <w:rPr>
          <w:lang w:val="en-US"/>
        </w:rPr>
        <w:t>/</w:t>
      </w:r>
      <w:r>
        <w:rPr>
          <w:lang w:val="en-US"/>
        </w:rPr>
        <w:t xml:space="preserve">Alex </w:t>
      </w:r>
      <w:proofErr w:type="spellStart"/>
      <w:r w:rsidRPr="00E3663A">
        <w:rPr>
          <w:lang w:val="en-US"/>
        </w:rPr>
        <w:t>Schmid</w:t>
      </w:r>
      <w:proofErr w:type="spellEnd"/>
      <w:r w:rsidRPr="00E3663A">
        <w:rPr>
          <w:lang w:val="en-US"/>
        </w:rPr>
        <w:t xml:space="preserve">: The Politics of Pain. </w:t>
      </w:r>
      <w:proofErr w:type="spellStart"/>
      <w:r w:rsidRPr="00E3663A">
        <w:t>Torturers</w:t>
      </w:r>
      <w:proofErr w:type="spellEnd"/>
      <w:r w:rsidRPr="00E3663A">
        <w:t xml:space="preserve"> </w:t>
      </w:r>
      <w:proofErr w:type="spellStart"/>
      <w:r w:rsidRPr="00E3663A">
        <w:t>and</w:t>
      </w:r>
      <w:proofErr w:type="spellEnd"/>
      <w:r w:rsidRPr="00E3663A">
        <w:t xml:space="preserve"> </w:t>
      </w:r>
      <w:proofErr w:type="spellStart"/>
      <w:r w:rsidRPr="00E3663A">
        <w:t>their</w:t>
      </w:r>
      <w:proofErr w:type="spellEnd"/>
      <w:r w:rsidRPr="00E3663A">
        <w:t xml:space="preserve"> Masters, </w:t>
      </w:r>
      <w:r>
        <w:t>Boulder 1995,</w:t>
      </w:r>
      <w:r w:rsidRPr="00E3663A">
        <w:t xml:space="preserve"> </w:t>
      </w:r>
      <w:r w:rsidRPr="00C80831">
        <w:t>S. 19-34, nach</w:t>
      </w:r>
      <w:r w:rsidRPr="00C80831">
        <w:rPr>
          <w:i/>
          <w:sz w:val="24"/>
          <w:szCs w:val="24"/>
        </w:rPr>
        <w:t xml:space="preserve"> </w:t>
      </w:r>
      <w:r w:rsidRPr="00C80831">
        <w:t xml:space="preserve">Ronald D. </w:t>
      </w:r>
      <w:proofErr w:type="spellStart"/>
      <w:r w:rsidRPr="00C80831">
        <w:t>Crelinsten</w:t>
      </w:r>
      <w:proofErr w:type="spellEnd"/>
      <w:r w:rsidRPr="00C80831">
        <w:t>: Gewalt in Gefängnissen/Folter,</w:t>
      </w:r>
      <w:r w:rsidRPr="00C80831">
        <w:rPr>
          <w:i/>
        </w:rPr>
        <w:t xml:space="preserve"> </w:t>
      </w:r>
      <w:r>
        <w:t xml:space="preserve">in: </w:t>
      </w:r>
      <w:r w:rsidRPr="00C80831">
        <w:t xml:space="preserve">Peter </w:t>
      </w:r>
      <w:proofErr w:type="spellStart"/>
      <w:r w:rsidRPr="00C80831">
        <w:t>Huemer</w:t>
      </w:r>
      <w:proofErr w:type="spellEnd"/>
      <w:r w:rsidRPr="00C80831">
        <w:t>/Grete Schurz (</w:t>
      </w:r>
      <w:proofErr w:type="spellStart"/>
      <w:r w:rsidRPr="00C80831">
        <w:t>Hg</w:t>
      </w:r>
      <w:proofErr w:type="spellEnd"/>
      <w:r w:rsidRPr="00C80831">
        <w:t>.): Unterwerfung – Über den destruktiven Gehorsam, Essays, mit einem Vorwort von Simon Wiesenthal, Wien, 1990</w:t>
      </w:r>
      <w:r>
        <w:t xml:space="preserve">, </w:t>
      </w:r>
      <w:r w:rsidRPr="00C80831">
        <w:t>S. 235-258.</w:t>
      </w:r>
    </w:p>
  </w:footnote>
  <w:footnote w:id="18">
    <w:p w:rsidR="00B56788" w:rsidRDefault="00B56788" w:rsidP="00E3663A">
      <w:pPr>
        <w:pStyle w:val="Funotentext"/>
      </w:pPr>
      <w:r>
        <w:rPr>
          <w:rStyle w:val="Funotenzeichen"/>
        </w:rPr>
        <w:footnoteRef/>
      </w:r>
      <w:r>
        <w:t xml:space="preserve"> Stefan Kühl: </w:t>
      </w:r>
      <w:r w:rsidRPr="00E3663A">
        <w:rPr>
          <w:iCs/>
        </w:rPr>
        <w:t>Ganz normale Organisationen. Zur Soziologie des Holocaust</w:t>
      </w:r>
      <w:r>
        <w:rPr>
          <w:iCs/>
        </w:rPr>
        <w:t>,</w:t>
      </w:r>
      <w:r w:rsidRPr="00E3663A">
        <w:rPr>
          <w:iCs/>
        </w:rPr>
        <w:t xml:space="preserve"> </w:t>
      </w:r>
      <w:r>
        <w:rPr>
          <w:iCs/>
        </w:rPr>
        <w:t>Frankfurt/M</w:t>
      </w:r>
      <w:r w:rsidRPr="00E3663A">
        <w:rPr>
          <w:iCs/>
        </w:rPr>
        <w:t xml:space="preserve"> 2015.</w:t>
      </w:r>
    </w:p>
  </w:footnote>
  <w:footnote w:id="19">
    <w:p w:rsidR="00B56788" w:rsidRDefault="00B56788">
      <w:pPr>
        <w:pStyle w:val="Funotentext"/>
      </w:pPr>
      <w:r>
        <w:rPr>
          <w:rStyle w:val="Funotenzeichen"/>
        </w:rPr>
        <w:footnoteRef/>
      </w:r>
      <w:r>
        <w:t xml:space="preserve"> </w:t>
      </w:r>
      <w:r w:rsidRPr="00C80831">
        <w:t xml:space="preserve">Ingo Kletten: Durch Terror zum modernen Staat. Der chilenische Geheimdienst DINA, </w:t>
      </w:r>
      <w:r>
        <w:t xml:space="preserve">in: </w:t>
      </w:r>
      <w:proofErr w:type="spellStart"/>
      <w:r>
        <w:t>Sémelin</w:t>
      </w:r>
      <w:proofErr w:type="spellEnd"/>
      <w:r>
        <w:t xml:space="preserve">: Folter, </w:t>
      </w:r>
      <w:r w:rsidRPr="00C80831">
        <w:t>S. 37-71</w:t>
      </w:r>
      <w:r>
        <w:t>, hier S. 40</w:t>
      </w:r>
      <w:r w:rsidRPr="00C80831">
        <w:t>.</w:t>
      </w:r>
      <w:r>
        <w:t xml:space="preserve"> (</w:t>
      </w:r>
      <w:r w:rsidRPr="00D32CF8">
        <w:t>DINA – der Geheimdienst-</w:t>
      </w:r>
      <w:r>
        <w:t xml:space="preserve"> war</w:t>
      </w:r>
      <w:r w:rsidRPr="00D32CF8">
        <w:t xml:space="preserve"> ein außerjuristisches Instrument mit Training im Foltern</w:t>
      </w:r>
      <w:r>
        <w:t>.)</w:t>
      </w:r>
    </w:p>
  </w:footnote>
  <w:footnote w:id="20">
    <w:p w:rsidR="00B56788" w:rsidRDefault="00B56788">
      <w:pPr>
        <w:pStyle w:val="Funotentext"/>
      </w:pPr>
      <w:r>
        <w:rPr>
          <w:rStyle w:val="Funotenzeichen"/>
        </w:rPr>
        <w:footnoteRef/>
      </w:r>
      <w:r>
        <w:t xml:space="preserve"> </w:t>
      </w:r>
      <w:r w:rsidRPr="00BA220E">
        <w:t xml:space="preserve">Reinhold </w:t>
      </w:r>
      <w:proofErr w:type="spellStart"/>
      <w:r w:rsidRPr="00BA220E">
        <w:t>Görling</w:t>
      </w:r>
      <w:proofErr w:type="spellEnd"/>
      <w:r w:rsidRPr="00BA220E">
        <w:t>: Folter</w:t>
      </w:r>
      <w:r w:rsidRPr="00BA220E">
        <w:rPr>
          <w:i/>
        </w:rPr>
        <w:t>,</w:t>
      </w:r>
      <w:r>
        <w:rPr>
          <w:i/>
        </w:rPr>
        <w:t xml:space="preserve"> </w:t>
      </w:r>
      <w:r>
        <w:t xml:space="preserve">in: </w:t>
      </w:r>
      <w:proofErr w:type="spellStart"/>
      <w:r w:rsidRPr="00BA220E">
        <w:t>Gudehus</w:t>
      </w:r>
      <w:proofErr w:type="spellEnd"/>
      <w:r w:rsidRPr="00BA220E">
        <w:t>/Christ: Gewalt</w:t>
      </w:r>
      <w:r>
        <w:t>,</w:t>
      </w:r>
      <w:r w:rsidRPr="00BA220E">
        <w:rPr>
          <w:i/>
        </w:rPr>
        <w:t xml:space="preserve"> </w:t>
      </w:r>
      <w:r w:rsidRPr="00BA220E">
        <w:t>S. 122-128</w:t>
      </w:r>
      <w:r>
        <w:t>, hier S. 125f.</w:t>
      </w:r>
    </w:p>
  </w:footnote>
  <w:footnote w:id="21">
    <w:p w:rsidR="00B56788" w:rsidRPr="00401EFB" w:rsidRDefault="00B56788">
      <w:pPr>
        <w:pStyle w:val="Funotentext"/>
        <w:rPr>
          <w:lang w:val="en-US"/>
        </w:rPr>
      </w:pPr>
      <w:r>
        <w:rPr>
          <w:rStyle w:val="Funotenzeichen"/>
        </w:rPr>
        <w:footnoteRef/>
      </w:r>
      <w:r>
        <w:t xml:space="preserve"> </w:t>
      </w:r>
      <w:r w:rsidRPr="00CD6D87">
        <w:t xml:space="preserve">Mika </w:t>
      </w:r>
      <w:proofErr w:type="spellStart"/>
      <w:r w:rsidRPr="00CD6D87">
        <w:t>Haritos-Fatouros</w:t>
      </w:r>
      <w:proofErr w:type="spellEnd"/>
      <w:r w:rsidRPr="00CD6D87">
        <w:t>: Die Ausbildung de Folterers.</w:t>
      </w:r>
      <w:r w:rsidRPr="00CD6D87">
        <w:rPr>
          <w:i/>
        </w:rPr>
        <w:t xml:space="preserve"> </w:t>
      </w:r>
      <w:r w:rsidRPr="00CD6D87">
        <w:t xml:space="preserve">Trainingsprogramme der </w:t>
      </w:r>
      <w:proofErr w:type="spellStart"/>
      <w:r w:rsidRPr="00CD6D87">
        <w:t>Obristendiktatur</w:t>
      </w:r>
      <w:proofErr w:type="spellEnd"/>
      <w:r w:rsidRPr="00CD6D87">
        <w:t xml:space="preserve"> in Griechenland, </w:t>
      </w:r>
      <w:r>
        <w:t xml:space="preserve">in: </w:t>
      </w:r>
      <w:proofErr w:type="spellStart"/>
      <w:r>
        <w:t>Sémelin</w:t>
      </w:r>
      <w:proofErr w:type="spellEnd"/>
      <w:r>
        <w:t xml:space="preserve">: Folter, </w:t>
      </w:r>
      <w:r w:rsidRPr="00CD6D87">
        <w:t>S. 73-90</w:t>
      </w:r>
      <w:r>
        <w:t xml:space="preserve">, hier S. 86, 88; ähnliche Berichte über Training zur Gewalt im Spanischen Bürgerkrieg </w:t>
      </w:r>
      <w:r w:rsidRPr="00401EFB">
        <w:t xml:space="preserve">siehe </w:t>
      </w:r>
      <w:r>
        <w:t xml:space="preserve">in </w:t>
      </w:r>
      <w:r w:rsidRPr="00401EFB">
        <w:t xml:space="preserve">Paloma Aguilar/Leigh A. Payne: </w:t>
      </w:r>
      <w:proofErr w:type="spellStart"/>
      <w:r w:rsidRPr="00401EFB">
        <w:t>Unsettling</w:t>
      </w:r>
      <w:proofErr w:type="spellEnd"/>
      <w:r w:rsidRPr="00401EFB">
        <w:t xml:space="preserve"> Bones, </w:t>
      </w:r>
      <w:proofErr w:type="spellStart"/>
      <w:r w:rsidRPr="00401EFB">
        <w:t>Unsettling</w:t>
      </w:r>
      <w:proofErr w:type="spellEnd"/>
      <w:r w:rsidRPr="00401EFB">
        <w:t xml:space="preserve"> Accounts</w:t>
      </w:r>
      <w:r w:rsidRPr="00401EFB">
        <w:rPr>
          <w:b/>
        </w:rPr>
        <w:t xml:space="preserve">. </w:t>
      </w:r>
      <w:r w:rsidRPr="00401EFB">
        <w:rPr>
          <w:lang w:val="en-US"/>
        </w:rPr>
        <w:t xml:space="preserve">Spanish Perpetrators’ Confessions to Violence, in: Ofelia </w:t>
      </w:r>
      <w:proofErr w:type="spellStart"/>
      <w:r w:rsidRPr="00401EFB">
        <w:rPr>
          <w:lang w:val="en-US"/>
        </w:rPr>
        <w:t>Ferrán</w:t>
      </w:r>
      <w:proofErr w:type="spellEnd"/>
      <w:r w:rsidRPr="00401EFB">
        <w:rPr>
          <w:lang w:val="en-US"/>
        </w:rPr>
        <w:t xml:space="preserve">/Lisa </w:t>
      </w:r>
      <w:proofErr w:type="spellStart"/>
      <w:r w:rsidRPr="00401EFB">
        <w:rPr>
          <w:lang w:val="en-US"/>
        </w:rPr>
        <w:t>Hilbrink</w:t>
      </w:r>
      <w:proofErr w:type="spellEnd"/>
      <w:r w:rsidRPr="00401EFB">
        <w:rPr>
          <w:lang w:val="en-US"/>
        </w:rPr>
        <w:t xml:space="preserve">: Legacies of </w:t>
      </w:r>
      <w:r>
        <w:rPr>
          <w:lang w:val="en-US"/>
        </w:rPr>
        <w:t>V</w:t>
      </w:r>
      <w:r w:rsidRPr="00401EFB">
        <w:rPr>
          <w:lang w:val="en-US"/>
        </w:rPr>
        <w:t>iolence in Contemporary Spain. Exhuming the past, understanding the present, N</w:t>
      </w:r>
      <w:r>
        <w:rPr>
          <w:lang w:val="en-US"/>
        </w:rPr>
        <w:t xml:space="preserve">ew </w:t>
      </w:r>
      <w:r w:rsidRPr="00401EFB">
        <w:rPr>
          <w:lang w:val="en-US"/>
        </w:rPr>
        <w:t>Y</w:t>
      </w:r>
      <w:r>
        <w:rPr>
          <w:lang w:val="en-US"/>
        </w:rPr>
        <w:t>ork</w:t>
      </w:r>
      <w:r w:rsidRPr="00401EFB">
        <w:rPr>
          <w:lang w:val="en-US"/>
        </w:rPr>
        <w:t xml:space="preserve">, 2017, S. 148-173. </w:t>
      </w:r>
    </w:p>
  </w:footnote>
  <w:footnote w:id="22">
    <w:p w:rsidR="00B56788" w:rsidRPr="00BE6153" w:rsidRDefault="00B56788">
      <w:pPr>
        <w:pStyle w:val="Funotentext"/>
        <w:rPr>
          <w:lang w:val="en-US"/>
        </w:rPr>
      </w:pPr>
      <w:r>
        <w:rPr>
          <w:rStyle w:val="Funotenzeichen"/>
        </w:rPr>
        <w:footnoteRef/>
      </w:r>
      <w:r w:rsidRPr="00BE6153">
        <w:rPr>
          <w:lang w:val="en-US"/>
        </w:rPr>
        <w:t xml:space="preserve"> Harald </w:t>
      </w:r>
      <w:proofErr w:type="spellStart"/>
      <w:r w:rsidRPr="00BE6153">
        <w:rPr>
          <w:lang w:val="en-US"/>
        </w:rPr>
        <w:t>Welzer</w:t>
      </w:r>
      <w:proofErr w:type="spellEnd"/>
      <w:r w:rsidRPr="00BE6153">
        <w:rPr>
          <w:lang w:val="en-US"/>
        </w:rPr>
        <w:t xml:space="preserve">: Krieg, in: </w:t>
      </w:r>
      <w:proofErr w:type="spellStart"/>
      <w:r w:rsidRPr="00BE6153">
        <w:rPr>
          <w:lang w:val="en-US"/>
        </w:rPr>
        <w:t>Gudehus</w:t>
      </w:r>
      <w:proofErr w:type="spellEnd"/>
      <w:r w:rsidRPr="00BE6153">
        <w:rPr>
          <w:lang w:val="en-US"/>
        </w:rPr>
        <w:t xml:space="preserve">/Christ: </w:t>
      </w:r>
      <w:proofErr w:type="spellStart"/>
      <w:r w:rsidRPr="00BE6153">
        <w:rPr>
          <w:lang w:val="en-US"/>
        </w:rPr>
        <w:t>Gewalt</w:t>
      </w:r>
      <w:proofErr w:type="spellEnd"/>
      <w:r w:rsidRPr="00BE6153">
        <w:rPr>
          <w:i/>
          <w:lang w:val="en-US"/>
        </w:rPr>
        <w:t xml:space="preserve">, </w:t>
      </w:r>
      <w:r w:rsidRPr="00BE6153">
        <w:rPr>
          <w:lang w:val="en-US"/>
        </w:rPr>
        <w:t xml:space="preserve">S. 32-40, </w:t>
      </w:r>
      <w:proofErr w:type="spellStart"/>
      <w:r w:rsidRPr="00BE6153">
        <w:rPr>
          <w:lang w:val="en-US"/>
        </w:rPr>
        <w:t>hier</w:t>
      </w:r>
      <w:proofErr w:type="spellEnd"/>
      <w:r w:rsidRPr="00BE6153">
        <w:rPr>
          <w:lang w:val="en-US"/>
        </w:rPr>
        <w:t xml:space="preserve"> S. 38.</w:t>
      </w:r>
    </w:p>
  </w:footnote>
  <w:footnote w:id="23">
    <w:p w:rsidR="00B56788" w:rsidRDefault="00B56788" w:rsidP="004D4094">
      <w:pPr>
        <w:pStyle w:val="Funotentext"/>
      </w:pPr>
      <w:r>
        <w:rPr>
          <w:rStyle w:val="Funotenzeichen"/>
        </w:rPr>
        <w:footnoteRef/>
      </w:r>
      <w:r>
        <w:t xml:space="preserve"> Sönke </w:t>
      </w:r>
      <w:r w:rsidRPr="00CD6D87">
        <w:t>Neitzel/</w:t>
      </w:r>
      <w:r>
        <w:t xml:space="preserve">Harald </w:t>
      </w:r>
      <w:proofErr w:type="spellStart"/>
      <w:r w:rsidRPr="00CD6D87">
        <w:t>Welzer</w:t>
      </w:r>
      <w:proofErr w:type="spellEnd"/>
      <w:r w:rsidRPr="00CD6D87">
        <w:t>:</w:t>
      </w:r>
      <w:r w:rsidRPr="00CD6D87">
        <w:rPr>
          <w:b/>
        </w:rPr>
        <w:t xml:space="preserve"> </w:t>
      </w:r>
      <w:r w:rsidRPr="00CD6D87">
        <w:t>Soldaten</w:t>
      </w:r>
      <w:r>
        <w:t xml:space="preserve">. </w:t>
      </w:r>
      <w:r w:rsidRPr="005D705E">
        <w:t>Protokolle vom Kämpfen, Töten und Sterben</w:t>
      </w:r>
      <w:r>
        <w:t>, Frankfurt/M 2011, S. 83, 390ff.</w:t>
      </w:r>
      <w:r w:rsidRPr="00CD6D87">
        <w:t xml:space="preserve">  </w:t>
      </w:r>
    </w:p>
  </w:footnote>
  <w:footnote w:id="24">
    <w:p w:rsidR="00B56788" w:rsidRDefault="00B56788" w:rsidP="001D7C98">
      <w:pPr>
        <w:pStyle w:val="Funotentext"/>
      </w:pPr>
      <w:r>
        <w:rPr>
          <w:rStyle w:val="Funotenzeichen"/>
        </w:rPr>
        <w:footnoteRef/>
      </w:r>
      <w:r>
        <w:t xml:space="preserve"> </w:t>
      </w:r>
      <w:r w:rsidRPr="0019258A">
        <w:t>Gerhard Paul</w:t>
      </w:r>
      <w:r>
        <w:t xml:space="preserve">: </w:t>
      </w:r>
      <w:r w:rsidRPr="00951FDE">
        <w:t>Von Psychopathen, Technokraten des Terrors und „ganz gewöhnlichen“ Deutschen“,</w:t>
      </w:r>
      <w:r w:rsidRPr="00951FDE">
        <w:rPr>
          <w:i/>
        </w:rPr>
        <w:t xml:space="preserve"> </w:t>
      </w:r>
      <w:r>
        <w:t xml:space="preserve">in: </w:t>
      </w:r>
      <w:proofErr w:type="spellStart"/>
      <w:r>
        <w:t>ders</w:t>
      </w:r>
      <w:proofErr w:type="spellEnd"/>
      <w:r>
        <w:t>. (</w:t>
      </w:r>
      <w:proofErr w:type="spellStart"/>
      <w:r>
        <w:t>Hrg</w:t>
      </w:r>
      <w:proofErr w:type="spellEnd"/>
      <w:r>
        <w:t xml:space="preserve">.): Täter der </w:t>
      </w:r>
      <w:proofErr w:type="spellStart"/>
      <w:r>
        <w:t>Shoa</w:t>
      </w:r>
      <w:proofErr w:type="spellEnd"/>
      <w:r w:rsidRPr="0019258A">
        <w:t xml:space="preserve">, </w:t>
      </w:r>
      <w:r w:rsidRPr="00951FDE">
        <w:t>S.13-90</w:t>
      </w:r>
      <w:r>
        <w:t>,</w:t>
      </w:r>
      <w:r w:rsidRPr="0019258A">
        <w:t xml:space="preserve"> </w:t>
      </w:r>
      <w:r>
        <w:t>hier S. 16.</w:t>
      </w:r>
    </w:p>
  </w:footnote>
  <w:footnote w:id="25">
    <w:p w:rsidR="00B56788" w:rsidRPr="00B71F06" w:rsidRDefault="00B56788">
      <w:pPr>
        <w:pStyle w:val="Funotentext"/>
      </w:pPr>
      <w:r>
        <w:rPr>
          <w:rStyle w:val="Funotenzeichen"/>
        </w:rPr>
        <w:footnoteRef/>
      </w:r>
      <w:r w:rsidRPr="00BE6153">
        <w:t xml:space="preserve"> Alexander Laban </w:t>
      </w:r>
      <w:proofErr w:type="spellStart"/>
      <w:r w:rsidRPr="00BE6153">
        <w:t>Hinton</w:t>
      </w:r>
      <w:proofErr w:type="spellEnd"/>
      <w:r w:rsidRPr="00BE6153">
        <w:t xml:space="preserve">: </w:t>
      </w:r>
      <w:proofErr w:type="spellStart"/>
      <w:r w:rsidRPr="00BE6153">
        <w:t>Annihilating</w:t>
      </w:r>
      <w:proofErr w:type="spellEnd"/>
      <w:r w:rsidRPr="00BE6153">
        <w:t xml:space="preserve"> </w:t>
      </w:r>
      <w:proofErr w:type="spellStart"/>
      <w:r w:rsidRPr="00BE6153">
        <w:t>Difference</w:t>
      </w:r>
      <w:proofErr w:type="spellEnd"/>
      <w:r w:rsidRPr="00BE6153">
        <w:t xml:space="preserve">. </w:t>
      </w:r>
      <w:r w:rsidRPr="00B71F06">
        <w:t xml:space="preserve">The Anthropology </w:t>
      </w:r>
      <w:proofErr w:type="spellStart"/>
      <w:r w:rsidRPr="00B71F06">
        <w:t>of</w:t>
      </w:r>
      <w:proofErr w:type="spellEnd"/>
      <w:r w:rsidRPr="00B71F06">
        <w:t xml:space="preserve"> </w:t>
      </w:r>
      <w:proofErr w:type="spellStart"/>
      <w:r w:rsidRPr="00B71F06">
        <w:t>Genocide</w:t>
      </w:r>
      <w:proofErr w:type="spellEnd"/>
      <w:r w:rsidRPr="00B71F06">
        <w:t xml:space="preserve">, Oakland 2002; Manfred Messerschmid: Ideologie und Befehlsgehorsam im Vernichtungskrieg, in: Zeitschrift für Zeitgeschichte, 2001, 10, S. 905-926. </w:t>
      </w:r>
    </w:p>
  </w:footnote>
  <w:footnote w:id="26">
    <w:p w:rsidR="00B56788" w:rsidRDefault="00B56788">
      <w:pPr>
        <w:pStyle w:val="Funotentext"/>
      </w:pPr>
      <w:r>
        <w:rPr>
          <w:rStyle w:val="Funotenzeichen"/>
        </w:rPr>
        <w:footnoteRef/>
      </w:r>
      <w:r>
        <w:t xml:space="preserve"> </w:t>
      </w:r>
      <w:proofErr w:type="spellStart"/>
      <w:r>
        <w:t>Welzer</w:t>
      </w:r>
      <w:proofErr w:type="spellEnd"/>
      <w:r>
        <w:t>: Täter, S. 87.</w:t>
      </w:r>
    </w:p>
  </w:footnote>
  <w:footnote w:id="27">
    <w:p w:rsidR="00B56788" w:rsidRDefault="00B56788">
      <w:pPr>
        <w:pStyle w:val="Funotentext"/>
      </w:pPr>
      <w:r>
        <w:rPr>
          <w:rStyle w:val="Funotenzeichen"/>
        </w:rPr>
        <w:footnoteRef/>
      </w:r>
      <w:r>
        <w:t xml:space="preserve"> </w:t>
      </w:r>
      <w:r w:rsidRPr="003222B1">
        <w:t>Jürgen Matthäus: An vorderster Front.</w:t>
      </w:r>
      <w:r w:rsidRPr="003222B1">
        <w:rPr>
          <w:i/>
        </w:rPr>
        <w:t xml:space="preserve"> </w:t>
      </w:r>
      <w:r w:rsidRPr="003222B1">
        <w:t xml:space="preserve">Voraussetzungen für die Beteiligung der Ordnungspolizei an der </w:t>
      </w:r>
      <w:proofErr w:type="spellStart"/>
      <w:r w:rsidRPr="003222B1">
        <w:t>Shoah</w:t>
      </w:r>
      <w:proofErr w:type="spellEnd"/>
      <w:r w:rsidRPr="003222B1">
        <w:t xml:space="preserve">, </w:t>
      </w:r>
      <w:r>
        <w:t xml:space="preserve">in: Paul: Täter der </w:t>
      </w:r>
      <w:proofErr w:type="spellStart"/>
      <w:r>
        <w:t>Shoah</w:t>
      </w:r>
      <w:proofErr w:type="spellEnd"/>
      <w:r>
        <w:t xml:space="preserve">, </w:t>
      </w:r>
      <w:r w:rsidRPr="003222B1">
        <w:t>S. 137-166</w:t>
      </w:r>
      <w:r>
        <w:t xml:space="preserve">, hier S. 155; siehe auch Christian </w:t>
      </w:r>
      <w:proofErr w:type="spellStart"/>
      <w:r>
        <w:t>Godehus</w:t>
      </w:r>
      <w:proofErr w:type="spellEnd"/>
      <w:r>
        <w:t xml:space="preserve">: Helfen, in: </w:t>
      </w:r>
      <w:proofErr w:type="spellStart"/>
      <w:r>
        <w:t>Sémelin</w:t>
      </w:r>
      <w:proofErr w:type="spellEnd"/>
      <w:r>
        <w:t xml:space="preserve">: Folter, S. 256-261; </w:t>
      </w:r>
      <w:proofErr w:type="spellStart"/>
      <w:r>
        <w:t>Welzer</w:t>
      </w:r>
      <w:proofErr w:type="spellEnd"/>
      <w:r>
        <w:t xml:space="preserve">: Täter, S. 191ff. </w:t>
      </w:r>
    </w:p>
  </w:footnote>
  <w:footnote w:id="28">
    <w:p w:rsidR="00B56788" w:rsidRDefault="00B56788">
      <w:pPr>
        <w:pStyle w:val="Funotentext"/>
      </w:pPr>
      <w:r>
        <w:rPr>
          <w:rStyle w:val="Funotenzeichen"/>
        </w:rPr>
        <w:footnoteRef/>
      </w:r>
      <w:r>
        <w:t xml:space="preserve"> </w:t>
      </w:r>
      <w:r w:rsidRPr="00947805">
        <w:t xml:space="preserve">Beate </w:t>
      </w:r>
      <w:proofErr w:type="spellStart"/>
      <w:r w:rsidRPr="00947805">
        <w:t>Kosmala</w:t>
      </w:r>
      <w:proofErr w:type="spellEnd"/>
      <w:r w:rsidRPr="00947805">
        <w:t xml:space="preserve">/Claudia </w:t>
      </w:r>
      <w:proofErr w:type="spellStart"/>
      <w:r w:rsidRPr="00947805">
        <w:t>Schoppmann</w:t>
      </w:r>
      <w:proofErr w:type="spellEnd"/>
      <w:r>
        <w:t>:</w:t>
      </w:r>
      <w:r w:rsidRPr="00947805">
        <w:t xml:space="preserve"> Überleben im Untergrund. Hilfe für Juden in Deutschland 1941 - 1945, Berlin 2002</w:t>
      </w:r>
      <w:r>
        <w:t xml:space="preserve">; </w:t>
      </w:r>
      <w:r w:rsidRPr="00947805">
        <w:t>Wolfram Wette (Hrsg.)</w:t>
      </w:r>
      <w:r>
        <w:t>:</w:t>
      </w:r>
      <w:r w:rsidRPr="00947805">
        <w:t xml:space="preserve"> Retter in Uniform, Frankfurt/M. 2002; </w:t>
      </w:r>
      <w:proofErr w:type="spellStart"/>
      <w:r w:rsidRPr="00947805">
        <w:t>ders</w:t>
      </w:r>
      <w:proofErr w:type="spellEnd"/>
      <w:r w:rsidRPr="00947805">
        <w:t>. (Hrsg.)</w:t>
      </w:r>
      <w:r>
        <w:t>:</w:t>
      </w:r>
      <w:r w:rsidRPr="00947805">
        <w:t xml:space="preserve"> Zivilcourage. Empörte, Helfer und Retter aus Wehrmacht, Polizei und SS, Frankfurt/M. 2004.</w:t>
      </w:r>
    </w:p>
  </w:footnote>
  <w:footnote w:id="29">
    <w:p w:rsidR="00B56788" w:rsidRDefault="00B56788" w:rsidP="00515FF1">
      <w:pPr>
        <w:pStyle w:val="Funotentext"/>
      </w:pPr>
      <w:r>
        <w:rPr>
          <w:rStyle w:val="Funotenzeichen"/>
        </w:rPr>
        <w:footnoteRef/>
      </w:r>
      <w:r>
        <w:t xml:space="preserve"> Wolfgang Mommsen: </w:t>
      </w:r>
      <w:r w:rsidRPr="00B51B4A">
        <w:t>Modernität und Barbarei</w:t>
      </w:r>
      <w:r>
        <w:t xml:space="preserve">. Anmerkungen aus zeithistorischer Sicht, </w:t>
      </w:r>
      <w:r w:rsidRPr="00515FF1">
        <w:t xml:space="preserve">in: </w:t>
      </w:r>
      <w:r>
        <w:t xml:space="preserve">Max </w:t>
      </w:r>
      <w:r w:rsidRPr="00515FF1">
        <w:t>Miller/</w:t>
      </w:r>
      <w:r>
        <w:t xml:space="preserve">Hans-Georg </w:t>
      </w:r>
      <w:proofErr w:type="spellStart"/>
      <w:r w:rsidRPr="00515FF1">
        <w:t>Soeffner</w:t>
      </w:r>
      <w:proofErr w:type="spellEnd"/>
      <w:r w:rsidRPr="00515FF1">
        <w:t xml:space="preserve"> </w:t>
      </w:r>
      <w:r>
        <w:t>(</w:t>
      </w:r>
      <w:proofErr w:type="spellStart"/>
      <w:r>
        <w:t>H</w:t>
      </w:r>
      <w:r w:rsidRPr="00515FF1">
        <w:t>rg</w:t>
      </w:r>
      <w:proofErr w:type="spellEnd"/>
      <w:r>
        <w:t>.)</w:t>
      </w:r>
      <w:r w:rsidRPr="00515FF1">
        <w:t>: Modernität und Barbarei</w:t>
      </w:r>
      <w:r>
        <w:t>. Soziologische Zeitdiagnose am Ende des 20. Jahrhunderts</w:t>
      </w:r>
      <w:r w:rsidRPr="00515FF1">
        <w:t xml:space="preserve">, </w:t>
      </w:r>
      <w:r>
        <w:t xml:space="preserve">Frankfurt/M </w:t>
      </w:r>
      <w:r w:rsidRPr="00515FF1">
        <w:t>1996, S. 137-155</w:t>
      </w:r>
      <w:r>
        <w:t>, hier S. 150, zitiert nach Michael Wildt: Sind die Nazis Barbaren? Betrachtungen zu einer geklärten Frage, in: Mittelweg 36 (2006) 2, S. 8-26, hier S. 11</w:t>
      </w:r>
      <w:r w:rsidRPr="00515FF1">
        <w:t>.</w:t>
      </w:r>
    </w:p>
  </w:footnote>
  <w:footnote w:id="30">
    <w:p w:rsidR="00B56788" w:rsidRDefault="00B56788" w:rsidP="008A6BCE">
      <w:pPr>
        <w:pStyle w:val="Funotentext"/>
      </w:pPr>
      <w:r>
        <w:rPr>
          <w:rStyle w:val="Funotenzeichen"/>
        </w:rPr>
        <w:footnoteRef/>
      </w:r>
      <w:r>
        <w:t xml:space="preserve"> Raul </w:t>
      </w:r>
      <w:r w:rsidRPr="00A631FE">
        <w:t xml:space="preserve">Hilberg: Die Vernichtung der europäischen Juden, </w:t>
      </w:r>
      <w:r>
        <w:t xml:space="preserve">3 </w:t>
      </w:r>
      <w:proofErr w:type="spellStart"/>
      <w:r>
        <w:t>Bde</w:t>
      </w:r>
      <w:proofErr w:type="spellEnd"/>
      <w:r>
        <w:t xml:space="preserve">, Frankfurt/M </w:t>
      </w:r>
      <w:r w:rsidRPr="00A631FE">
        <w:t xml:space="preserve">1990, </w:t>
      </w:r>
      <w:r>
        <w:t xml:space="preserve">Bd. 1 </w:t>
      </w:r>
      <w:r w:rsidRPr="00A631FE">
        <w:t>S. 106ff</w:t>
      </w:r>
      <w:r>
        <w:t xml:space="preserve">; </w:t>
      </w:r>
      <w:r w:rsidRPr="008A6BCE">
        <w:t xml:space="preserve">Bd. 3 S. </w:t>
      </w:r>
      <w:proofErr w:type="gramStart"/>
      <w:r w:rsidRPr="008A6BCE">
        <w:t>1061ff</w:t>
      </w:r>
      <w:r>
        <w:t>.,</w:t>
      </w:r>
      <w:proofErr w:type="gramEnd"/>
      <w:r>
        <w:t xml:space="preserve"> zitiert bei Paul: </w:t>
      </w:r>
      <w:r w:rsidRPr="00515FF1">
        <w:t>Von Psychopathen, Technokraten des Terrors</w:t>
      </w:r>
      <w:r>
        <w:t xml:space="preserve">, </w:t>
      </w:r>
      <w:r w:rsidRPr="00A631FE">
        <w:t>S. 13</w:t>
      </w:r>
      <w:r>
        <w:t xml:space="preserve"> und 28</w:t>
      </w:r>
      <w:r w:rsidRPr="00A631FE">
        <w:t>.</w:t>
      </w:r>
    </w:p>
  </w:footnote>
  <w:footnote w:id="31">
    <w:p w:rsidR="00B56788" w:rsidRDefault="00B56788">
      <w:pPr>
        <w:pStyle w:val="Funotentext"/>
      </w:pPr>
      <w:r>
        <w:rPr>
          <w:rStyle w:val="Funotenzeichen"/>
        </w:rPr>
        <w:footnoteRef/>
      </w:r>
      <w:r>
        <w:t xml:space="preserve"> Tom </w:t>
      </w:r>
      <w:proofErr w:type="spellStart"/>
      <w:r>
        <w:t>Segev</w:t>
      </w:r>
      <w:proofErr w:type="spellEnd"/>
      <w:r>
        <w:t xml:space="preserve">: </w:t>
      </w:r>
      <w:r>
        <w:rPr>
          <w:rStyle w:val="a-size-large"/>
        </w:rPr>
        <w:t xml:space="preserve">Die Soldaten des Bösen: Zur Geschichte der KZ-Kommandanten, Reinbek: 1992; </w:t>
      </w:r>
      <w:r w:rsidRPr="009D04EF">
        <w:t xml:space="preserve">Gita </w:t>
      </w:r>
      <w:proofErr w:type="spellStart"/>
      <w:r w:rsidRPr="009D04EF">
        <w:t>Sereny</w:t>
      </w:r>
      <w:proofErr w:type="spellEnd"/>
      <w:r w:rsidRPr="009D04EF">
        <w:t>: Am Abgrund. Eine Gewissensforschung.</w:t>
      </w:r>
      <w:r w:rsidRPr="009D04EF">
        <w:rPr>
          <w:b/>
        </w:rPr>
        <w:t xml:space="preserve"> </w:t>
      </w:r>
      <w:r w:rsidRPr="009D04EF">
        <w:t>Gespräche mit Franz Stangl, Kommandant von Treblinka, und anderen, Frankfurt/M 1979</w:t>
      </w:r>
      <w:r>
        <w:rPr>
          <w:rStyle w:val="a-size-large"/>
        </w:rPr>
        <w:t xml:space="preserve">. </w:t>
      </w:r>
    </w:p>
  </w:footnote>
  <w:footnote w:id="32">
    <w:p w:rsidR="00B56788" w:rsidRDefault="00B56788">
      <w:pPr>
        <w:pStyle w:val="Funotentext"/>
      </w:pPr>
      <w:r>
        <w:rPr>
          <w:rStyle w:val="Funotenzeichen"/>
        </w:rPr>
        <w:footnoteRef/>
      </w:r>
      <w:r>
        <w:t xml:space="preserve"> Jörg </w:t>
      </w:r>
      <w:proofErr w:type="spellStart"/>
      <w:r>
        <w:t>Barberowski</w:t>
      </w:r>
      <w:proofErr w:type="spellEnd"/>
      <w:r>
        <w:t xml:space="preserve">: Räume der Gewalt, Frankfurt/M 2015; Timothy Snyder: </w:t>
      </w:r>
      <w:proofErr w:type="spellStart"/>
      <w:r>
        <w:t>Bloodlands</w:t>
      </w:r>
      <w:proofErr w:type="spellEnd"/>
      <w:r>
        <w:t xml:space="preserve">. Europa zwischen Hitler und Stalin, München 2015. </w:t>
      </w:r>
    </w:p>
  </w:footnote>
  <w:footnote w:id="33">
    <w:p w:rsidR="00B56788" w:rsidRDefault="00B56788">
      <w:pPr>
        <w:pStyle w:val="Funotentext"/>
      </w:pPr>
      <w:r>
        <w:rPr>
          <w:rStyle w:val="Funotenzeichen"/>
        </w:rPr>
        <w:footnoteRef/>
      </w:r>
      <w:r>
        <w:t xml:space="preserve"> Wolfgang </w:t>
      </w:r>
      <w:proofErr w:type="spellStart"/>
      <w:r>
        <w:t>Knöbl</w:t>
      </w:r>
      <w:proofErr w:type="spellEnd"/>
      <w:r>
        <w:t xml:space="preserve">: Perspektiven der Gewaltforschung, in: Mittelweg 36 (2017) 3, S. 4-27. </w:t>
      </w:r>
    </w:p>
  </w:footnote>
  <w:footnote w:id="34">
    <w:p w:rsidR="00B56788" w:rsidRDefault="00B56788">
      <w:pPr>
        <w:pStyle w:val="Funotentext"/>
      </w:pPr>
      <w:r>
        <w:rPr>
          <w:rStyle w:val="Funotenzeichen"/>
        </w:rPr>
        <w:footnoteRef/>
      </w:r>
      <w:r>
        <w:t xml:space="preserve"> Herbert </w:t>
      </w:r>
      <w:r w:rsidRPr="00B51B4A">
        <w:t>Jäger:</w:t>
      </w:r>
      <w:r>
        <w:t xml:space="preserve"> </w:t>
      </w:r>
      <w:r w:rsidRPr="00B51B4A">
        <w:t>Verbrechen unter totalit</w:t>
      </w:r>
      <w:r>
        <w:t xml:space="preserve">ärer Herrschaft. </w:t>
      </w:r>
      <w:r w:rsidRPr="00245EDE">
        <w:t>Studien zur nationalsozialistischen Gewaltkriminalität</w:t>
      </w:r>
      <w:r>
        <w:t xml:space="preserve">, Frankfurt/M 1982, S. 77 und 159, zitiert bei Paul: Psychopaten, S. 33f. </w:t>
      </w:r>
    </w:p>
  </w:footnote>
  <w:footnote w:id="35">
    <w:p w:rsidR="00B56788" w:rsidRDefault="00B56788">
      <w:pPr>
        <w:pStyle w:val="Funotentext"/>
      </w:pPr>
      <w:r>
        <w:rPr>
          <w:rStyle w:val="Funotenzeichen"/>
        </w:rPr>
        <w:footnoteRef/>
      </w:r>
      <w:r>
        <w:t xml:space="preserve"> Grete Schurz: Destruktive </w:t>
      </w:r>
      <w:proofErr w:type="spellStart"/>
      <w:r>
        <w:t>Gehormsamsbereitschaft</w:t>
      </w:r>
      <w:proofErr w:type="spellEnd"/>
      <w:r>
        <w:t xml:space="preserve"> im psychologischen Experiment, in: </w:t>
      </w:r>
      <w:proofErr w:type="spellStart"/>
      <w:r>
        <w:t>Huemer</w:t>
      </w:r>
      <w:proofErr w:type="spellEnd"/>
      <w:r>
        <w:t>/Schurz: Unterwerfung, S. 39-64.</w:t>
      </w:r>
    </w:p>
  </w:footnote>
  <w:footnote w:id="36">
    <w:p w:rsidR="00B56788" w:rsidRDefault="00B56788">
      <w:pPr>
        <w:pStyle w:val="Funotentext"/>
      </w:pPr>
      <w:r>
        <w:rPr>
          <w:rStyle w:val="Funotenzeichen"/>
        </w:rPr>
        <w:footnoteRef/>
      </w:r>
      <w:r>
        <w:t xml:space="preserve"> Paul: Psychopaten, S.</w:t>
      </w:r>
      <w:r w:rsidRPr="00BF1C25">
        <w:rPr>
          <w:sz w:val="22"/>
          <w:szCs w:val="22"/>
        </w:rPr>
        <w:t xml:space="preserve"> </w:t>
      </w:r>
      <w:r w:rsidRPr="00BF1C25">
        <w:t xml:space="preserve">38, zitiert nach </w:t>
      </w:r>
      <w:r>
        <w:t xml:space="preserve">Christopher </w:t>
      </w:r>
      <w:r w:rsidR="0045371C">
        <w:t xml:space="preserve">Browning: Ganz normale Männer. Das Reserve-Polizeibataillon 101 und die „Endlösung“ in Polen, 1993, </w:t>
      </w:r>
      <w:r>
        <w:t>S</w:t>
      </w:r>
      <w:r w:rsidRPr="00BF1C25">
        <w:t>. 246f.</w:t>
      </w:r>
    </w:p>
  </w:footnote>
  <w:footnote w:id="37">
    <w:p w:rsidR="00B56788" w:rsidRDefault="00B56788">
      <w:pPr>
        <w:pStyle w:val="Funotentext"/>
      </w:pPr>
      <w:r>
        <w:rPr>
          <w:rStyle w:val="Funotenzeichen"/>
        </w:rPr>
        <w:footnoteRef/>
      </w:r>
      <w:r>
        <w:t xml:space="preserve"> Paul: Psychopaten, S.</w:t>
      </w:r>
      <w:r w:rsidRPr="00BF1C25">
        <w:rPr>
          <w:sz w:val="22"/>
          <w:szCs w:val="22"/>
        </w:rPr>
        <w:t xml:space="preserve"> </w:t>
      </w:r>
      <w:proofErr w:type="gramStart"/>
      <w:r>
        <w:rPr>
          <w:sz w:val="22"/>
          <w:szCs w:val="22"/>
        </w:rPr>
        <w:t>52f.,</w:t>
      </w:r>
      <w:proofErr w:type="gramEnd"/>
      <w:r>
        <w:rPr>
          <w:sz w:val="22"/>
          <w:szCs w:val="22"/>
        </w:rPr>
        <w:t xml:space="preserve"> zitiert Klas-Michael </w:t>
      </w:r>
      <w:proofErr w:type="spellStart"/>
      <w:r w:rsidRPr="00BF1C25">
        <w:t>Mallmann</w:t>
      </w:r>
      <w:proofErr w:type="spellEnd"/>
      <w:r>
        <w:t xml:space="preserve">: Der Einstieg in den Genozid. </w:t>
      </w:r>
      <w:r w:rsidRPr="00245EDE">
        <w:t xml:space="preserve">Das Lübecker Polizeibataillon 307 und das Massaker in Brest-Litowsk Anfang Juli 1941, in: Archiv für Polizeigeschichte 10 (1999), S. 82 </w:t>
      </w:r>
      <w:r>
        <w:t>–</w:t>
      </w:r>
      <w:r w:rsidRPr="00245EDE">
        <w:t xml:space="preserve"> 88.</w:t>
      </w:r>
    </w:p>
  </w:footnote>
  <w:footnote w:id="38">
    <w:p w:rsidR="00B56788" w:rsidRDefault="00B56788">
      <w:pPr>
        <w:pStyle w:val="Funotentext"/>
      </w:pPr>
      <w:r>
        <w:rPr>
          <w:rStyle w:val="Funotenzeichen"/>
        </w:rPr>
        <w:footnoteRef/>
      </w:r>
      <w:r>
        <w:t xml:space="preserve"> </w:t>
      </w:r>
      <w:r w:rsidRPr="00BF65FB">
        <w:t xml:space="preserve">Klaus-Michael </w:t>
      </w:r>
      <w:proofErr w:type="spellStart"/>
      <w:r w:rsidRPr="00BF65FB">
        <w:t>Mallmann</w:t>
      </w:r>
      <w:proofErr w:type="spellEnd"/>
      <w:r w:rsidRPr="00BF65FB">
        <w:t>:</w:t>
      </w:r>
      <w:r w:rsidRPr="00BF65FB">
        <w:rPr>
          <w:i/>
        </w:rPr>
        <w:t xml:space="preserve"> </w:t>
      </w:r>
      <w:r w:rsidRPr="00BF65FB">
        <w:t xml:space="preserve">„Mensch, ich feire heut‘ den tausendsten </w:t>
      </w:r>
      <w:proofErr w:type="spellStart"/>
      <w:r w:rsidRPr="00BF65FB">
        <w:t>Genickschuß</w:t>
      </w:r>
      <w:proofErr w:type="spellEnd"/>
      <w:r w:rsidRPr="00BF65FB">
        <w:t>“.</w:t>
      </w:r>
      <w:r w:rsidRPr="00BF65FB">
        <w:rPr>
          <w:i/>
        </w:rPr>
        <w:t xml:space="preserve"> </w:t>
      </w:r>
      <w:r w:rsidRPr="00BF65FB">
        <w:t xml:space="preserve">Die Sicherheitspolizei und die </w:t>
      </w:r>
      <w:proofErr w:type="spellStart"/>
      <w:r w:rsidRPr="00BF65FB">
        <w:t>Shoa</w:t>
      </w:r>
      <w:proofErr w:type="spellEnd"/>
      <w:r w:rsidRPr="00BF65FB">
        <w:t xml:space="preserve"> in Westgalizien, </w:t>
      </w:r>
      <w:r>
        <w:t xml:space="preserve">in: Paul: Täter der </w:t>
      </w:r>
      <w:proofErr w:type="spellStart"/>
      <w:r>
        <w:t>Shoa</w:t>
      </w:r>
      <w:proofErr w:type="spellEnd"/>
      <w:r>
        <w:t xml:space="preserve">, </w:t>
      </w:r>
      <w:r w:rsidRPr="00BF65FB">
        <w:t>S. 109-136</w:t>
      </w:r>
      <w:r>
        <w:t xml:space="preserve">, hier S. 120; siehe auch </w:t>
      </w:r>
      <w:proofErr w:type="spellStart"/>
      <w:r>
        <w:t>ders</w:t>
      </w:r>
      <w:proofErr w:type="spellEnd"/>
      <w:r>
        <w:t>./G</w:t>
      </w:r>
      <w:r w:rsidRPr="006E241C">
        <w:t>erhard Paul</w:t>
      </w:r>
      <w:r>
        <w:t xml:space="preserve"> (</w:t>
      </w:r>
      <w:proofErr w:type="spellStart"/>
      <w:r>
        <w:t>Hrg</w:t>
      </w:r>
      <w:proofErr w:type="spellEnd"/>
      <w:r>
        <w:t>.):</w:t>
      </w:r>
      <w:r w:rsidRPr="006E241C">
        <w:t xml:space="preserve"> Karrieren der Gewalt. Nationalsozialistische Täterbiographien, Darmstadt 2004</w:t>
      </w:r>
      <w:r w:rsidRPr="00BF65FB">
        <w:t xml:space="preserve">. </w:t>
      </w:r>
    </w:p>
  </w:footnote>
  <w:footnote w:id="39">
    <w:p w:rsidR="00B56788" w:rsidRDefault="00B56788" w:rsidP="005179E6">
      <w:pPr>
        <w:pStyle w:val="Funotentext"/>
      </w:pPr>
      <w:r>
        <w:rPr>
          <w:rStyle w:val="Funotenzeichen"/>
        </w:rPr>
        <w:footnoteRef/>
      </w:r>
      <w:r w:rsidRPr="006E241C">
        <w:t xml:space="preserve"> Paul: Psychopaten, S.53f.; </w:t>
      </w:r>
      <w:hyperlink r:id="rId2" w:history="1">
        <w:r w:rsidRPr="006E241C">
          <w:rPr>
            <w:rStyle w:val="Hyperlink"/>
            <w:bCs/>
            <w:color w:val="auto"/>
            <w:u w:val="none"/>
          </w:rPr>
          <w:t>Bogdan Musial</w:t>
        </w:r>
      </w:hyperlink>
      <w:r w:rsidRPr="006E241C">
        <w:t xml:space="preserve">: </w:t>
      </w:r>
      <w:r w:rsidRPr="006E241C">
        <w:rPr>
          <w:bCs/>
        </w:rPr>
        <w:t>Deutsche Zivilverwaltung und Judenverfolgung im Generalgouvernement.</w:t>
      </w:r>
      <w:r w:rsidRPr="006E241C">
        <w:rPr>
          <w:b/>
          <w:bCs/>
        </w:rPr>
        <w:t xml:space="preserve"> </w:t>
      </w:r>
      <w:r w:rsidRPr="006E241C">
        <w:t>Eine Fallstudie zum Distrikt Lublin 1939-1944</w:t>
      </w:r>
      <w:r>
        <w:t xml:space="preserve">, </w:t>
      </w:r>
      <w:r w:rsidRPr="006E241C">
        <w:t>Wiesbaden 1999</w:t>
      </w:r>
      <w:r>
        <w:t>.</w:t>
      </w:r>
    </w:p>
  </w:footnote>
  <w:footnote w:id="40">
    <w:p w:rsidR="00B56788" w:rsidRDefault="00B56788">
      <w:pPr>
        <w:pStyle w:val="Funotentext"/>
      </w:pPr>
      <w:r>
        <w:rPr>
          <w:rStyle w:val="Funotenzeichen"/>
        </w:rPr>
        <w:footnoteRef/>
      </w:r>
      <w:r>
        <w:t xml:space="preserve"> </w:t>
      </w:r>
      <w:proofErr w:type="spellStart"/>
      <w:r>
        <w:t>Barberowski</w:t>
      </w:r>
      <w:proofErr w:type="spellEnd"/>
      <w:r>
        <w:t xml:space="preserve">: Räume der Gewalt, S. 11, resümiert: „“Mehr als fünfzehn Jahre habe ich mich mit dem Schrecken der stalinistischen Gewaltherrschaft beschäftig. Diese Erfahrung hat mich gelehrt, dass Menschen zu allem fähig sind, wenn sie sich in einem Raum bewegen, in dem Gewalt nicht verboten, sondern geboten ist.“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1F1"/>
    <w:rsid w:val="0008770A"/>
    <w:rsid w:val="000B6610"/>
    <w:rsid w:val="000E6927"/>
    <w:rsid w:val="0011137D"/>
    <w:rsid w:val="0017019A"/>
    <w:rsid w:val="00177FE6"/>
    <w:rsid w:val="0019258A"/>
    <w:rsid w:val="00195CC1"/>
    <w:rsid w:val="001B5E39"/>
    <w:rsid w:val="001D210C"/>
    <w:rsid w:val="001D7C98"/>
    <w:rsid w:val="00245EDE"/>
    <w:rsid w:val="002702B9"/>
    <w:rsid w:val="002765E3"/>
    <w:rsid w:val="002B198C"/>
    <w:rsid w:val="002C768E"/>
    <w:rsid w:val="002E11F1"/>
    <w:rsid w:val="00304453"/>
    <w:rsid w:val="003222B1"/>
    <w:rsid w:val="00366926"/>
    <w:rsid w:val="00375917"/>
    <w:rsid w:val="003B0FC8"/>
    <w:rsid w:val="003E1D0D"/>
    <w:rsid w:val="00401EFB"/>
    <w:rsid w:val="004120E4"/>
    <w:rsid w:val="00416D17"/>
    <w:rsid w:val="004339DC"/>
    <w:rsid w:val="004463E1"/>
    <w:rsid w:val="0045371C"/>
    <w:rsid w:val="004744E5"/>
    <w:rsid w:val="004819F5"/>
    <w:rsid w:val="004937EE"/>
    <w:rsid w:val="004A270C"/>
    <w:rsid w:val="004B7053"/>
    <w:rsid w:val="004D4094"/>
    <w:rsid w:val="004E7C30"/>
    <w:rsid w:val="004F7D31"/>
    <w:rsid w:val="00515FF1"/>
    <w:rsid w:val="005179E6"/>
    <w:rsid w:val="005314D1"/>
    <w:rsid w:val="005522E4"/>
    <w:rsid w:val="00585E28"/>
    <w:rsid w:val="00586432"/>
    <w:rsid w:val="005C39D7"/>
    <w:rsid w:val="005C7D11"/>
    <w:rsid w:val="005D705E"/>
    <w:rsid w:val="00615B18"/>
    <w:rsid w:val="00660638"/>
    <w:rsid w:val="006657A6"/>
    <w:rsid w:val="00666500"/>
    <w:rsid w:val="006C1D06"/>
    <w:rsid w:val="006C53C3"/>
    <w:rsid w:val="006E241C"/>
    <w:rsid w:val="006E64C7"/>
    <w:rsid w:val="007154CA"/>
    <w:rsid w:val="0073701B"/>
    <w:rsid w:val="00750345"/>
    <w:rsid w:val="00771715"/>
    <w:rsid w:val="0077289A"/>
    <w:rsid w:val="007A5C39"/>
    <w:rsid w:val="007C0B58"/>
    <w:rsid w:val="007C1F34"/>
    <w:rsid w:val="007F7AC7"/>
    <w:rsid w:val="008460E4"/>
    <w:rsid w:val="00871974"/>
    <w:rsid w:val="008A6BCE"/>
    <w:rsid w:val="008C5138"/>
    <w:rsid w:val="008D3490"/>
    <w:rsid w:val="00936C4A"/>
    <w:rsid w:val="00947805"/>
    <w:rsid w:val="00951FDE"/>
    <w:rsid w:val="009A41A2"/>
    <w:rsid w:val="009B5C4E"/>
    <w:rsid w:val="009D04EF"/>
    <w:rsid w:val="00A149FB"/>
    <w:rsid w:val="00A4519E"/>
    <w:rsid w:val="00A631FE"/>
    <w:rsid w:val="00AA00D6"/>
    <w:rsid w:val="00AA1894"/>
    <w:rsid w:val="00B17855"/>
    <w:rsid w:val="00B35553"/>
    <w:rsid w:val="00B35B98"/>
    <w:rsid w:val="00B40705"/>
    <w:rsid w:val="00B51B4A"/>
    <w:rsid w:val="00B56788"/>
    <w:rsid w:val="00B71F06"/>
    <w:rsid w:val="00BA220E"/>
    <w:rsid w:val="00BE6153"/>
    <w:rsid w:val="00BF1C25"/>
    <w:rsid w:val="00BF65FB"/>
    <w:rsid w:val="00C0065C"/>
    <w:rsid w:val="00C05AAE"/>
    <w:rsid w:val="00C415E5"/>
    <w:rsid w:val="00C62CB7"/>
    <w:rsid w:val="00C80831"/>
    <w:rsid w:val="00C85D97"/>
    <w:rsid w:val="00CB22E6"/>
    <w:rsid w:val="00CD6D87"/>
    <w:rsid w:val="00CE18C0"/>
    <w:rsid w:val="00D04CE0"/>
    <w:rsid w:val="00D32CF8"/>
    <w:rsid w:val="00DB48F0"/>
    <w:rsid w:val="00DB6222"/>
    <w:rsid w:val="00DB7048"/>
    <w:rsid w:val="00DC2E3F"/>
    <w:rsid w:val="00E0634A"/>
    <w:rsid w:val="00E3663A"/>
    <w:rsid w:val="00E54E6E"/>
    <w:rsid w:val="00E667E1"/>
    <w:rsid w:val="00E76838"/>
    <w:rsid w:val="00EB1390"/>
    <w:rsid w:val="00EB6082"/>
    <w:rsid w:val="00ED5FC5"/>
    <w:rsid w:val="00EE7837"/>
    <w:rsid w:val="00F462E6"/>
    <w:rsid w:val="00F80CBD"/>
    <w:rsid w:val="00FF5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6E24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7D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7D11"/>
    <w:rPr>
      <w:rFonts w:ascii="Tahoma" w:hAnsi="Tahoma" w:cs="Tahoma"/>
      <w:sz w:val="16"/>
      <w:szCs w:val="16"/>
    </w:rPr>
  </w:style>
  <w:style w:type="paragraph" w:styleId="Funotentext">
    <w:name w:val="footnote text"/>
    <w:basedOn w:val="Standard"/>
    <w:link w:val="FunotentextZchn"/>
    <w:uiPriority w:val="99"/>
    <w:semiHidden/>
    <w:unhideWhenUsed/>
    <w:rsid w:val="006C53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C53C3"/>
    <w:rPr>
      <w:sz w:val="20"/>
      <w:szCs w:val="20"/>
    </w:rPr>
  </w:style>
  <w:style w:type="character" w:styleId="Funotenzeichen">
    <w:name w:val="footnote reference"/>
    <w:basedOn w:val="Absatz-Standardschriftart"/>
    <w:uiPriority w:val="99"/>
    <w:semiHidden/>
    <w:unhideWhenUsed/>
    <w:rsid w:val="006C53C3"/>
    <w:rPr>
      <w:vertAlign w:val="superscript"/>
    </w:rPr>
  </w:style>
  <w:style w:type="character" w:customStyle="1" w:styleId="a-size-large">
    <w:name w:val="a-size-large"/>
    <w:basedOn w:val="Absatz-Standardschriftart"/>
    <w:rsid w:val="007154CA"/>
  </w:style>
  <w:style w:type="character" w:customStyle="1" w:styleId="berschrift3Zchn">
    <w:name w:val="Überschrift 3 Zchn"/>
    <w:basedOn w:val="Absatz-Standardschriftart"/>
    <w:link w:val="berschrift3"/>
    <w:uiPriority w:val="9"/>
    <w:semiHidden/>
    <w:rsid w:val="006E241C"/>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6E24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6E24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7D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7D11"/>
    <w:rPr>
      <w:rFonts w:ascii="Tahoma" w:hAnsi="Tahoma" w:cs="Tahoma"/>
      <w:sz w:val="16"/>
      <w:szCs w:val="16"/>
    </w:rPr>
  </w:style>
  <w:style w:type="paragraph" w:styleId="Funotentext">
    <w:name w:val="footnote text"/>
    <w:basedOn w:val="Standard"/>
    <w:link w:val="FunotentextZchn"/>
    <w:uiPriority w:val="99"/>
    <w:semiHidden/>
    <w:unhideWhenUsed/>
    <w:rsid w:val="006C53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C53C3"/>
    <w:rPr>
      <w:sz w:val="20"/>
      <w:szCs w:val="20"/>
    </w:rPr>
  </w:style>
  <w:style w:type="character" w:styleId="Funotenzeichen">
    <w:name w:val="footnote reference"/>
    <w:basedOn w:val="Absatz-Standardschriftart"/>
    <w:uiPriority w:val="99"/>
    <w:semiHidden/>
    <w:unhideWhenUsed/>
    <w:rsid w:val="006C53C3"/>
    <w:rPr>
      <w:vertAlign w:val="superscript"/>
    </w:rPr>
  </w:style>
  <w:style w:type="character" w:customStyle="1" w:styleId="a-size-large">
    <w:name w:val="a-size-large"/>
    <w:basedOn w:val="Absatz-Standardschriftart"/>
    <w:rsid w:val="007154CA"/>
  </w:style>
  <w:style w:type="character" w:customStyle="1" w:styleId="berschrift3Zchn">
    <w:name w:val="Überschrift 3 Zchn"/>
    <w:basedOn w:val="Absatz-Standardschriftart"/>
    <w:link w:val="berschrift3"/>
    <w:uiPriority w:val="9"/>
    <w:semiHidden/>
    <w:rsid w:val="006E241C"/>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6E24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94585">
      <w:bodyDiv w:val="1"/>
      <w:marLeft w:val="0"/>
      <w:marRight w:val="0"/>
      <w:marTop w:val="0"/>
      <w:marBottom w:val="0"/>
      <w:divBdr>
        <w:top w:val="none" w:sz="0" w:space="0" w:color="auto"/>
        <w:left w:val="none" w:sz="0" w:space="0" w:color="auto"/>
        <w:bottom w:val="none" w:sz="0" w:space="0" w:color="auto"/>
        <w:right w:val="none" w:sz="0" w:space="0" w:color="auto"/>
      </w:divBdr>
    </w:div>
    <w:div w:id="1681157912">
      <w:bodyDiv w:val="1"/>
      <w:marLeft w:val="0"/>
      <w:marRight w:val="0"/>
      <w:marTop w:val="0"/>
      <w:marBottom w:val="0"/>
      <w:divBdr>
        <w:top w:val="none" w:sz="0" w:space="0" w:color="auto"/>
        <w:left w:val="none" w:sz="0" w:space="0" w:color="auto"/>
        <w:bottom w:val="none" w:sz="0" w:space="0" w:color="auto"/>
        <w:right w:val="none" w:sz="0" w:space="0" w:color="auto"/>
      </w:divBdr>
      <w:divsChild>
        <w:div w:id="1100178451">
          <w:marLeft w:val="720"/>
          <w:marRight w:val="0"/>
          <w:marTop w:val="154"/>
          <w:marBottom w:val="0"/>
          <w:divBdr>
            <w:top w:val="none" w:sz="0" w:space="0" w:color="auto"/>
            <w:left w:val="none" w:sz="0" w:space="0" w:color="auto"/>
            <w:bottom w:val="none" w:sz="0" w:space="0" w:color="auto"/>
            <w:right w:val="none" w:sz="0" w:space="0" w:color="auto"/>
          </w:divBdr>
        </w:div>
      </w:divsChild>
    </w:div>
    <w:div w:id="1830518079">
      <w:bodyDiv w:val="1"/>
      <w:marLeft w:val="0"/>
      <w:marRight w:val="0"/>
      <w:marTop w:val="0"/>
      <w:marBottom w:val="0"/>
      <w:divBdr>
        <w:top w:val="none" w:sz="0" w:space="0" w:color="auto"/>
        <w:left w:val="none" w:sz="0" w:space="0" w:color="auto"/>
        <w:bottom w:val="none" w:sz="0" w:space="0" w:color="auto"/>
        <w:right w:val="none" w:sz="0" w:space="0" w:color="auto"/>
      </w:divBdr>
      <w:divsChild>
        <w:div w:id="778766963">
          <w:marLeft w:val="0"/>
          <w:marRight w:val="0"/>
          <w:marTop w:val="0"/>
          <w:marBottom w:val="0"/>
          <w:divBdr>
            <w:top w:val="none" w:sz="0" w:space="0" w:color="auto"/>
            <w:left w:val="none" w:sz="0" w:space="0" w:color="auto"/>
            <w:bottom w:val="none" w:sz="0" w:space="0" w:color="auto"/>
            <w:right w:val="none" w:sz="0" w:space="0" w:color="auto"/>
          </w:divBdr>
          <w:divsChild>
            <w:div w:id="1079138118">
              <w:marLeft w:val="0"/>
              <w:marRight w:val="0"/>
              <w:marTop w:val="0"/>
              <w:marBottom w:val="0"/>
              <w:divBdr>
                <w:top w:val="none" w:sz="0" w:space="0" w:color="auto"/>
                <w:left w:val="none" w:sz="0" w:space="0" w:color="auto"/>
                <w:bottom w:val="none" w:sz="0" w:space="0" w:color="auto"/>
                <w:right w:val="none" w:sz="0" w:space="0" w:color="auto"/>
              </w:divBdr>
              <w:divsChild>
                <w:div w:id="1486433732">
                  <w:marLeft w:val="0"/>
                  <w:marRight w:val="0"/>
                  <w:marTop w:val="0"/>
                  <w:marBottom w:val="0"/>
                  <w:divBdr>
                    <w:top w:val="none" w:sz="0" w:space="0" w:color="auto"/>
                    <w:left w:val="none" w:sz="0" w:space="0" w:color="auto"/>
                    <w:bottom w:val="none" w:sz="0" w:space="0" w:color="auto"/>
                    <w:right w:val="none" w:sz="0" w:space="0" w:color="auto"/>
                  </w:divBdr>
                  <w:divsChild>
                    <w:div w:id="597761755">
                      <w:marLeft w:val="0"/>
                      <w:marRight w:val="0"/>
                      <w:marTop w:val="0"/>
                      <w:marBottom w:val="0"/>
                      <w:divBdr>
                        <w:top w:val="none" w:sz="0" w:space="0" w:color="auto"/>
                        <w:left w:val="none" w:sz="0" w:space="0" w:color="auto"/>
                        <w:bottom w:val="none" w:sz="0" w:space="0" w:color="auto"/>
                        <w:right w:val="none" w:sz="0" w:space="0" w:color="auto"/>
                      </w:divBdr>
                      <w:divsChild>
                        <w:div w:id="874317638">
                          <w:marLeft w:val="0"/>
                          <w:marRight w:val="0"/>
                          <w:marTop w:val="0"/>
                          <w:marBottom w:val="0"/>
                          <w:divBdr>
                            <w:top w:val="none" w:sz="0" w:space="0" w:color="auto"/>
                            <w:left w:val="none" w:sz="0" w:space="0" w:color="auto"/>
                            <w:bottom w:val="none" w:sz="0" w:space="0" w:color="auto"/>
                            <w:right w:val="none" w:sz="0" w:space="0" w:color="auto"/>
                          </w:divBdr>
                          <w:divsChild>
                            <w:div w:id="1662389412">
                              <w:marLeft w:val="0"/>
                              <w:marRight w:val="0"/>
                              <w:marTop w:val="0"/>
                              <w:marBottom w:val="0"/>
                              <w:divBdr>
                                <w:top w:val="none" w:sz="0" w:space="0" w:color="auto"/>
                                <w:left w:val="none" w:sz="0" w:space="0" w:color="auto"/>
                                <w:bottom w:val="none" w:sz="0" w:space="0" w:color="auto"/>
                                <w:right w:val="none" w:sz="0" w:space="0" w:color="auto"/>
                              </w:divBdr>
                            </w:div>
                            <w:div w:id="189607794">
                              <w:marLeft w:val="0"/>
                              <w:marRight w:val="0"/>
                              <w:marTop w:val="0"/>
                              <w:marBottom w:val="0"/>
                              <w:divBdr>
                                <w:top w:val="none" w:sz="0" w:space="0" w:color="auto"/>
                                <w:left w:val="none" w:sz="0" w:space="0" w:color="auto"/>
                                <w:bottom w:val="none" w:sz="0" w:space="0" w:color="auto"/>
                                <w:right w:val="none" w:sz="0" w:space="0" w:color="auto"/>
                              </w:divBdr>
                              <w:divsChild>
                                <w:div w:id="20480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683544">
      <w:bodyDiv w:val="1"/>
      <w:marLeft w:val="0"/>
      <w:marRight w:val="0"/>
      <w:marTop w:val="0"/>
      <w:marBottom w:val="0"/>
      <w:divBdr>
        <w:top w:val="none" w:sz="0" w:space="0" w:color="auto"/>
        <w:left w:val="none" w:sz="0" w:space="0" w:color="auto"/>
        <w:bottom w:val="none" w:sz="0" w:space="0" w:color="auto"/>
        <w:right w:val="none" w:sz="0" w:space="0" w:color="auto"/>
      </w:divBdr>
      <w:divsChild>
        <w:div w:id="1148012252">
          <w:marLeft w:val="72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iif.deutsche-digitale-bibliothek.de/image/2/f7445dca-27b8-4736-bd99-860b01753f9e/full/!800,600/0/default.jp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www.perlentaucher.de/autor/bogdan-musial.html" TargetMode="External"/><Relationship Id="rId1" Type="http://schemas.openxmlformats.org/officeDocument/2006/relationships/hyperlink" Target="https://www.deutsche-digitale-bibliothek.de/item/2KFWEHI4JAI4CL7NFNXS3YSJJTM5QE7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DE564-172F-4CC3-B949-F733662C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3416</Words>
  <Characters>21521</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dc:creator>
  <cp:lastModifiedBy>Falk</cp:lastModifiedBy>
  <cp:revision>20</cp:revision>
  <dcterms:created xsi:type="dcterms:W3CDTF">2018-11-25T08:50:00Z</dcterms:created>
  <dcterms:modified xsi:type="dcterms:W3CDTF">2018-12-03T15:29:00Z</dcterms:modified>
</cp:coreProperties>
</file>